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ind w:left="11" w:right="0" w:hanging="11"/>
        <w:jc w:val="center"/>
        <w:rPr>
          <w:rFonts w:ascii="宋体" w:hAnsi="宋体" w:eastAsia="宋体" w:cs="宋体"/>
          <w:b/>
          <w:bCs/>
          <w:sz w:val="44"/>
          <w:highlight w:val="none"/>
        </w:rPr>
      </w:pPr>
      <w:r>
        <w:rPr>
          <w:rFonts w:ascii="宋体" w:hAnsi="宋体" w:eastAsia="宋体" w:cs="宋体"/>
          <w:b/>
          <w:bCs/>
          <w:sz w:val="44"/>
          <w:highlight w:val="none"/>
        </w:rPr>
        <w:t>中南财经政法大学</w:t>
      </w:r>
      <w:r>
        <w:rPr>
          <w:rFonts w:hint="eastAsia" w:ascii="宋体" w:hAnsi="宋体" w:eastAsia="宋体" w:cs="宋体"/>
          <w:b/>
          <w:bCs/>
          <w:sz w:val="44"/>
          <w:highlight w:val="none"/>
        </w:rPr>
        <w:t>法律硕士教育中心</w:t>
      </w:r>
      <w:r>
        <w:rPr>
          <w:rFonts w:ascii="宋体" w:hAnsi="宋体" w:eastAsia="宋体" w:cs="宋体"/>
          <w:b/>
          <w:bCs/>
          <w:sz w:val="44"/>
          <w:highlight w:val="none"/>
        </w:rPr>
        <w:t>研究生</w:t>
      </w:r>
    </w:p>
    <w:p>
      <w:pPr>
        <w:spacing w:after="0" w:line="360" w:lineRule="auto"/>
        <w:ind w:left="11" w:right="0" w:hanging="11"/>
        <w:jc w:val="center"/>
        <w:rPr>
          <w:b/>
          <w:bCs/>
          <w:highlight w:val="none"/>
        </w:rPr>
      </w:pPr>
      <w:r>
        <w:rPr>
          <w:rFonts w:ascii="宋体" w:hAnsi="宋体" w:eastAsia="宋体" w:cs="宋体"/>
          <w:b/>
          <w:bCs/>
          <w:sz w:val="44"/>
          <w:highlight w:val="none"/>
        </w:rPr>
        <w:t>综合评价实施办法（试行）</w:t>
      </w:r>
    </w:p>
    <w:p>
      <w:pPr>
        <w:pStyle w:val="2"/>
        <w:ind w:left="293" w:right="466"/>
        <w:rPr>
          <w:b/>
          <w:bCs/>
          <w:highlight w:val="none"/>
        </w:rPr>
      </w:pPr>
      <w:r>
        <w:rPr>
          <w:b/>
          <w:bCs/>
          <w:highlight w:val="none"/>
        </w:rPr>
        <w:t>第一章 总 则</w:t>
      </w:r>
    </w:p>
    <w:p>
      <w:pPr>
        <w:ind w:left="-15" w:right="0"/>
        <w:rPr>
          <w:highlight w:val="none"/>
        </w:rPr>
      </w:pPr>
      <w:r>
        <w:rPr>
          <w:highlight w:val="none"/>
        </w:rPr>
        <w:t>第一条 为全面贯彻党的教育方针，深化</w:t>
      </w:r>
      <w:r>
        <w:rPr>
          <w:rFonts w:hint="eastAsia"/>
          <w:highlight w:val="none"/>
        </w:rPr>
        <w:t>法律硕士教育中心（以下简称法硕中心）</w:t>
      </w:r>
      <w:r>
        <w:rPr>
          <w:highlight w:val="none"/>
        </w:rPr>
        <w:t>研究生教育评价改革，引导和促进法律专业学位硕士研究生德、智、体、美、劳全面协调发展，进一步突出研究生分类分层评价和过程性评价要求，根据国家和</w:t>
      </w:r>
      <w:r>
        <w:rPr>
          <w:rFonts w:hint="eastAsia"/>
          <w:highlight w:val="none"/>
        </w:rPr>
        <w:t>学校</w:t>
      </w:r>
      <w:r>
        <w:rPr>
          <w:highlight w:val="none"/>
        </w:rPr>
        <w:t>印发的</w:t>
      </w:r>
      <w:r>
        <w:rPr>
          <w:rFonts w:hint="eastAsia"/>
          <w:highlight w:val="none"/>
        </w:rPr>
        <w:t>《中南财经政法大学研究生综合评价实施办法（试行）》</w:t>
      </w:r>
      <w:r>
        <w:rPr>
          <w:highlight w:val="none"/>
        </w:rPr>
        <w:t>文件精神和法硕</w:t>
      </w:r>
      <w:r>
        <w:rPr>
          <w:rFonts w:hint="eastAsia"/>
          <w:highlight w:val="none"/>
        </w:rPr>
        <w:t>中心</w:t>
      </w:r>
      <w:r>
        <w:rPr>
          <w:highlight w:val="none"/>
        </w:rPr>
        <w:t>实际，特制定本办法。</w:t>
      </w:r>
    </w:p>
    <w:p>
      <w:pPr>
        <w:ind w:left="-15" w:right="0"/>
        <w:rPr>
          <w:highlight w:val="none"/>
        </w:rPr>
      </w:pPr>
      <w:r>
        <w:rPr>
          <w:highlight w:val="none"/>
        </w:rPr>
        <w:t>第二条 研究生综合评价是对研究生在校期间德育、智育、体育、美育和劳育表现的测定和评价。设定的测评指标既是评价研究生的基本依据，又是研究生发展的导向目标。</w:t>
      </w:r>
    </w:p>
    <w:p>
      <w:pPr>
        <w:ind w:left="-15" w:right="0"/>
        <w:rPr>
          <w:highlight w:val="none"/>
        </w:rPr>
      </w:pPr>
      <w:r>
        <w:rPr>
          <w:highlight w:val="none"/>
        </w:rPr>
        <w:t>第三条 研究生综合评价工作以习近平新时代中国特色社会主义思想为指导，以立德树人为根本，以理想信念教育为核心，以培育和践行社会主义核心价值观为主线，以提升研究生教育质量为着力点，贯彻“价值塑造、能力培养、知识传授”三位一体的育人理念，坚持公平、公开、公正的原则，采取定量测评与定性评价相结合、过程测评与结果评价相结合、纪实测评与民主评议相结合的方法，科学、合理地反映研究生的实际素质状况，引导广大研究生立大志、明大德、成大才、担大任。</w:t>
      </w:r>
    </w:p>
    <w:p>
      <w:pPr>
        <w:keepNext w:val="0"/>
        <w:keepLines w:val="0"/>
        <w:pageBreakBefore w:val="0"/>
        <w:widowControl/>
        <w:kinsoku/>
        <w:wordWrap/>
        <w:overflowPunct/>
        <w:topLinePunct w:val="0"/>
        <w:autoSpaceDE/>
        <w:autoSpaceDN/>
        <w:bidi w:val="0"/>
        <w:adjustRightInd/>
        <w:snapToGrid/>
        <w:spacing w:after="0" w:line="334" w:lineRule="auto"/>
        <w:ind w:left="-17" w:right="0" w:firstLine="618"/>
        <w:textAlignment w:val="auto"/>
        <w:rPr>
          <w:highlight w:val="none"/>
        </w:rPr>
      </w:pPr>
      <w:r>
        <w:rPr>
          <w:highlight w:val="none"/>
        </w:rPr>
        <w:t>第四条 本办法是法硕</w:t>
      </w:r>
      <w:r>
        <w:rPr>
          <w:rFonts w:hint="eastAsia"/>
          <w:highlight w:val="none"/>
        </w:rPr>
        <w:t>中心</w:t>
      </w:r>
      <w:r>
        <w:rPr>
          <w:highlight w:val="none"/>
        </w:rPr>
        <w:t>针对研究生综合素质评判的指导性文件，适用于研究生各类奖助学金评定、评先评优等工作。</w:t>
      </w:r>
    </w:p>
    <w:p>
      <w:pPr>
        <w:keepNext w:val="0"/>
        <w:keepLines w:val="0"/>
        <w:pageBreakBefore w:val="0"/>
        <w:widowControl/>
        <w:kinsoku/>
        <w:wordWrap/>
        <w:overflowPunct/>
        <w:topLinePunct w:val="0"/>
        <w:autoSpaceDE/>
        <w:autoSpaceDN/>
        <w:bidi w:val="0"/>
        <w:adjustRightInd/>
        <w:snapToGrid/>
        <w:spacing w:after="0" w:line="334" w:lineRule="auto"/>
        <w:ind w:left="-17" w:right="0" w:firstLine="618"/>
        <w:textAlignment w:val="auto"/>
        <w:rPr>
          <w:highlight w:val="none"/>
        </w:rPr>
      </w:pPr>
    </w:p>
    <w:p>
      <w:pPr>
        <w:pStyle w:val="2"/>
        <w:ind w:left="293" w:right="466"/>
        <w:rPr>
          <w:b/>
          <w:bCs/>
          <w:highlight w:val="none"/>
        </w:rPr>
      </w:pPr>
      <w:r>
        <w:rPr>
          <w:b/>
          <w:bCs/>
          <w:highlight w:val="none"/>
        </w:rPr>
        <w:t>第二章 组织与实施</w:t>
      </w:r>
    </w:p>
    <w:p>
      <w:pPr>
        <w:ind w:left="-15" w:right="0"/>
        <w:rPr>
          <w:rFonts w:hint="eastAsia"/>
          <w:highlight w:val="none"/>
        </w:rPr>
      </w:pPr>
      <w:r>
        <w:rPr>
          <w:highlight w:val="none"/>
        </w:rPr>
        <w:t>第五条 法硕</w:t>
      </w:r>
      <w:r>
        <w:rPr>
          <w:rFonts w:hint="eastAsia"/>
          <w:highlight w:val="none"/>
        </w:rPr>
        <w:t>中心</w:t>
      </w:r>
      <w:r>
        <w:rPr>
          <w:highlight w:val="none"/>
        </w:rPr>
        <w:t>研究生奖学金评审</w:t>
      </w:r>
      <w:r>
        <w:rPr>
          <w:rFonts w:hint="eastAsia"/>
          <w:highlight w:val="none"/>
        </w:rPr>
        <w:t>委员会</w:t>
      </w:r>
      <w:r>
        <w:rPr>
          <w:highlight w:val="none"/>
        </w:rPr>
        <w:t>负责</w:t>
      </w:r>
      <w:r>
        <w:rPr>
          <w:rFonts w:hint="eastAsia"/>
          <w:highlight w:val="none"/>
        </w:rPr>
        <w:t>本单位</w:t>
      </w:r>
      <w:r>
        <w:rPr>
          <w:highlight w:val="none"/>
        </w:rPr>
        <w:t>研究生综合评价工作的组织与领导。评审委员会</w:t>
      </w:r>
      <w:r>
        <w:rPr>
          <w:rFonts w:hint="eastAsia"/>
          <w:highlight w:val="none"/>
        </w:rPr>
        <w:t>由中心主任任主任委员，分管研究生教育和思想政治教育的副主任、学生党总支书记为副主任委员，研究生导师组组长代表、研究生导师代表、研究生辅导员、研究生代表任委员</w:t>
      </w:r>
      <w:r>
        <w:rPr>
          <w:highlight w:val="none"/>
        </w:rPr>
        <w:t>。选任研究生代表实行回避</w:t>
      </w:r>
      <w:r>
        <w:rPr>
          <w:rFonts w:hint="eastAsia"/>
          <w:highlight w:val="none"/>
        </w:rPr>
        <w:t>。</w:t>
      </w:r>
    </w:p>
    <w:p>
      <w:pPr>
        <w:ind w:left="-15" w:right="0"/>
        <w:rPr>
          <w:highlight w:val="none"/>
        </w:rPr>
      </w:pPr>
      <w:r>
        <w:rPr>
          <w:highlight w:val="none"/>
        </w:rPr>
        <w:t>第六条 研究生综合评价结果可在国家奖学金评审、学业奖学金评审、各类专项奖学金评审、学年评优、研究生综合表彰和优秀毕业研究生评选等奖助工作中应用。</w:t>
      </w:r>
    </w:p>
    <w:p>
      <w:pPr>
        <w:ind w:left="-15" w:right="0"/>
        <w:rPr>
          <w:highlight w:val="none"/>
        </w:rPr>
      </w:pPr>
    </w:p>
    <w:p>
      <w:pPr>
        <w:pStyle w:val="2"/>
        <w:ind w:left="293" w:right="466"/>
        <w:rPr>
          <w:b/>
          <w:bCs/>
          <w:highlight w:val="none"/>
        </w:rPr>
      </w:pPr>
      <w:r>
        <w:rPr>
          <w:b/>
          <w:bCs/>
          <w:highlight w:val="none"/>
        </w:rPr>
        <w:t>第三章 评价指标</w:t>
      </w:r>
    </w:p>
    <w:p>
      <w:pPr>
        <w:ind w:left="-15" w:right="0"/>
        <w:jc w:val="both"/>
        <w:rPr>
          <w:highlight w:val="none"/>
        </w:rPr>
      </w:pPr>
      <w:r>
        <w:rPr>
          <w:highlight w:val="none"/>
        </w:rPr>
        <w:t>第</w:t>
      </w:r>
      <w:r>
        <w:rPr>
          <w:rFonts w:hint="eastAsia"/>
          <w:highlight w:val="none"/>
        </w:rPr>
        <w:t>七</w:t>
      </w:r>
      <w:r>
        <w:rPr>
          <w:highlight w:val="none"/>
        </w:rPr>
        <w:t>条 研究生综合评价由三个层级评价指标构成。一级指标包括“德育评价”“智育评价”“体育评价”“美育评价”“劳育评价”五个维度，每个一级指标下设“基本素质评价”和“个性能力评价”两个二级指标，每个二级指标下设若干三级指标。</w:t>
      </w:r>
    </w:p>
    <w:p>
      <w:pPr>
        <w:ind w:left="-15" w:right="0"/>
        <w:rPr>
          <w:highlight w:val="none"/>
        </w:rPr>
      </w:pPr>
      <w:r>
        <w:rPr>
          <w:highlight w:val="none"/>
        </w:rPr>
        <w:t>第</w:t>
      </w:r>
      <w:r>
        <w:rPr>
          <w:rFonts w:hint="eastAsia"/>
          <w:highlight w:val="none"/>
        </w:rPr>
        <w:t>八</w:t>
      </w:r>
      <w:r>
        <w:rPr>
          <w:highlight w:val="none"/>
        </w:rPr>
        <w:t>条 法硕</w:t>
      </w:r>
      <w:r>
        <w:rPr>
          <w:rFonts w:hint="eastAsia"/>
          <w:highlight w:val="none"/>
        </w:rPr>
        <w:t>中心</w:t>
      </w:r>
      <w:r>
        <w:rPr>
          <w:highlight w:val="none"/>
        </w:rPr>
        <w:t>组织所有研究生参评基本素质评价；根据研究生自身情况，组织相应研究生自愿参与个性能力评价。</w:t>
      </w:r>
    </w:p>
    <w:p>
      <w:pPr>
        <w:spacing w:line="335" w:lineRule="auto"/>
        <w:ind w:left="-15" w:right="158"/>
        <w:jc w:val="both"/>
        <w:rPr>
          <w:highlight w:val="none"/>
        </w:rPr>
      </w:pPr>
      <w:r>
        <w:rPr>
          <w:highlight w:val="none"/>
        </w:rPr>
        <w:t>第</w:t>
      </w:r>
      <w:r>
        <w:rPr>
          <w:rFonts w:hint="eastAsia"/>
          <w:highlight w:val="none"/>
        </w:rPr>
        <w:t>九</w:t>
      </w:r>
      <w:r>
        <w:rPr>
          <w:highlight w:val="none"/>
        </w:rPr>
        <w:t>条 研究生基本素质评价分为“合格”与“不合格”两个等级</w:t>
      </w:r>
      <w:r>
        <w:rPr>
          <w:rFonts w:hint="eastAsia"/>
          <w:highlight w:val="none"/>
        </w:rPr>
        <w:t>，合格即可获得60分基础分</w:t>
      </w:r>
      <w:r>
        <w:rPr>
          <w:highlight w:val="none"/>
        </w:rPr>
        <w:t>。德智体美劳基本素质评价均获“合格”等级方可参与评奖评优。</w:t>
      </w:r>
    </w:p>
    <w:p>
      <w:pPr>
        <w:ind w:left="-15" w:right="0"/>
        <w:rPr>
          <w:highlight w:val="none"/>
        </w:rPr>
      </w:pPr>
      <w:r>
        <w:rPr>
          <w:highlight w:val="none"/>
        </w:rPr>
        <w:t>第十条 研究生个性能力评价是参与评奖评优排序工作的重要参考依据。个性能力评价总分按如下公式计算：</w:t>
      </w:r>
    </w:p>
    <w:p>
      <w:pPr>
        <w:spacing w:after="325" w:line="265" w:lineRule="auto"/>
        <w:ind w:left="293" w:right="550" w:hanging="10"/>
        <w:jc w:val="center"/>
        <w:rPr>
          <w:highlight w:val="none"/>
        </w:rPr>
      </w:pPr>
      <w:r>
        <w:rPr>
          <w:highlight w:val="none"/>
        </w:rPr>
        <w:t>总分S＝W1×S1+W2×S2+W3×S3+W4×S4+W5×S5。</w:t>
      </w:r>
    </w:p>
    <w:p>
      <w:pPr>
        <w:widowControl w:val="0"/>
        <w:autoSpaceDE w:val="0"/>
        <w:spacing w:after="0" w:line="360" w:lineRule="auto"/>
        <w:ind w:right="0" w:firstLine="482" w:firstLineChars="200"/>
        <w:jc w:val="center"/>
        <w:rPr>
          <w:rFonts w:cs="Times New Roman"/>
          <w:b/>
          <w:color w:val="auto"/>
          <w:kern w:val="0"/>
          <w:sz w:val="24"/>
          <w:szCs w:val="24"/>
          <w:highlight w:val="none"/>
        </w:rPr>
      </w:pPr>
      <w:r>
        <w:rPr>
          <w:rFonts w:hint="eastAsia" w:cs="Times New Roman"/>
          <w:b/>
          <w:color w:val="auto"/>
          <w:kern w:val="0"/>
          <w:sz w:val="24"/>
          <w:szCs w:val="24"/>
          <w:highlight w:val="none"/>
        </w:rPr>
        <w:t>表1  各类考核项目权重（Wi）表（单位：%）</w:t>
      </w:r>
    </w:p>
    <w:tbl>
      <w:tblPr>
        <w:tblStyle w:val="7"/>
        <w:tblW w:w="91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746"/>
        <w:gridCol w:w="1134"/>
        <w:gridCol w:w="992"/>
        <w:gridCol w:w="992"/>
        <w:gridCol w:w="1134"/>
        <w:gridCol w:w="1134"/>
        <w:gridCol w:w="992"/>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6" w:hRule="atLeast"/>
          <w:jc w:val="center"/>
        </w:trPr>
        <w:tc>
          <w:tcPr>
            <w:tcW w:w="1746"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left="365" w:leftChars="114" w:right="0" w:firstLine="0"/>
              <w:rPr>
                <w:rFonts w:cs="Times New Roman"/>
                <w:b/>
                <w:bCs/>
                <w:color w:val="auto"/>
                <w:sz w:val="24"/>
                <w:szCs w:val="24"/>
                <w:highlight w:val="none"/>
              </w:rPr>
            </w:pPr>
            <w:bookmarkStart w:id="0" w:name="_Hlk85272624"/>
            <w:r>
              <w:rPr>
                <w:rFonts w:hint="eastAsia" w:cs="Times New Roman"/>
                <w:b/>
                <w:bCs/>
                <w:color w:val="auto"/>
                <w:sz w:val="24"/>
                <w:szCs w:val="24"/>
                <w:highlight w:val="none"/>
              </w:rPr>
              <w:t>考核项目</w:t>
            </w:r>
            <w:bookmarkEnd w:id="0"/>
          </w:p>
        </w:tc>
        <w:tc>
          <w:tcPr>
            <w:tcW w:w="1134" w:type="dxa"/>
            <w:vMerge w:val="restart"/>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德S1</w:t>
            </w:r>
          </w:p>
        </w:tc>
        <w:tc>
          <w:tcPr>
            <w:tcW w:w="3118" w:type="dxa"/>
            <w:gridSpan w:val="3"/>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智S2</w:t>
            </w:r>
          </w:p>
        </w:tc>
        <w:tc>
          <w:tcPr>
            <w:tcW w:w="1134" w:type="dxa"/>
            <w:vMerge w:val="restart"/>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体S3</w:t>
            </w:r>
          </w:p>
        </w:tc>
        <w:tc>
          <w:tcPr>
            <w:tcW w:w="992" w:type="dxa"/>
            <w:vMerge w:val="restart"/>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美S4</w:t>
            </w:r>
          </w:p>
        </w:tc>
        <w:tc>
          <w:tcPr>
            <w:tcW w:w="977" w:type="dxa"/>
            <w:vMerge w:val="restart"/>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劳S5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6" w:hRule="atLeast"/>
          <w:jc w:val="center"/>
        </w:trPr>
        <w:tc>
          <w:tcPr>
            <w:tcW w:w="1746"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right="0" w:firstLine="0"/>
              <w:jc w:val="center"/>
              <w:rPr>
                <w:rFonts w:cs="Times New Roman"/>
                <w:color w:val="auto"/>
                <w:sz w:val="24"/>
                <w:szCs w:val="24"/>
                <w:highlight w:val="none"/>
              </w:rPr>
            </w:pPr>
          </w:p>
        </w:tc>
        <w:tc>
          <w:tcPr>
            <w:tcW w:w="1134" w:type="dxa"/>
            <w:vMerge w:val="continue"/>
            <w:tcBorders>
              <w:top w:val="single" w:color="auto" w:sz="4" w:space="0"/>
              <w:left w:val="nil"/>
              <w:bottom w:val="single" w:color="auto" w:sz="4" w:space="0"/>
              <w:right w:val="single" w:color="auto" w:sz="4" w:space="0"/>
            </w:tcBorders>
            <w:vAlign w:val="center"/>
          </w:tcPr>
          <w:p>
            <w:pPr>
              <w:spacing w:after="0" w:line="240" w:lineRule="auto"/>
              <w:ind w:right="0" w:firstLine="0"/>
              <w:jc w:val="center"/>
              <w:rPr>
                <w:rFonts w:cs="Times New Roman"/>
                <w:color w:val="auto"/>
                <w:sz w:val="24"/>
                <w:szCs w:val="24"/>
                <w:highlight w:val="none"/>
              </w:rPr>
            </w:pPr>
          </w:p>
        </w:tc>
        <w:tc>
          <w:tcPr>
            <w:tcW w:w="992" w:type="dxa"/>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学习</w:t>
            </w:r>
          </w:p>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成绩</w:t>
            </w:r>
          </w:p>
        </w:tc>
        <w:tc>
          <w:tcPr>
            <w:tcW w:w="992" w:type="dxa"/>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代表</w:t>
            </w:r>
          </w:p>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成果</w:t>
            </w:r>
          </w:p>
        </w:tc>
        <w:tc>
          <w:tcPr>
            <w:tcW w:w="1134" w:type="dxa"/>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法律职业资格考试</w:t>
            </w:r>
          </w:p>
        </w:tc>
        <w:tc>
          <w:tcPr>
            <w:tcW w:w="1134" w:type="dxa"/>
            <w:vMerge w:val="continue"/>
            <w:tcBorders>
              <w:top w:val="single" w:color="auto" w:sz="4" w:space="0"/>
              <w:left w:val="nil"/>
              <w:bottom w:val="single" w:color="auto" w:sz="4" w:space="0"/>
              <w:right w:val="single" w:color="auto" w:sz="4" w:space="0"/>
            </w:tcBorders>
            <w:vAlign w:val="center"/>
          </w:tcPr>
          <w:p>
            <w:pPr>
              <w:spacing w:after="0" w:line="240" w:lineRule="auto"/>
              <w:ind w:right="0" w:firstLine="0"/>
              <w:jc w:val="center"/>
              <w:rPr>
                <w:rFonts w:cs="Times New Roman"/>
                <w:color w:val="auto"/>
                <w:sz w:val="24"/>
                <w:szCs w:val="24"/>
                <w:highlight w:val="none"/>
              </w:rPr>
            </w:pPr>
          </w:p>
        </w:tc>
        <w:tc>
          <w:tcPr>
            <w:tcW w:w="992" w:type="dxa"/>
            <w:vMerge w:val="continue"/>
            <w:tcBorders>
              <w:top w:val="single" w:color="auto" w:sz="4" w:space="0"/>
              <w:left w:val="nil"/>
              <w:bottom w:val="single" w:color="auto" w:sz="4" w:space="0"/>
              <w:right w:val="single" w:color="auto" w:sz="4" w:space="0"/>
            </w:tcBorders>
            <w:vAlign w:val="center"/>
          </w:tcPr>
          <w:p>
            <w:pPr>
              <w:spacing w:after="0" w:line="240" w:lineRule="auto"/>
              <w:ind w:right="0" w:firstLine="0"/>
              <w:jc w:val="center"/>
              <w:rPr>
                <w:rFonts w:cs="Times New Roman"/>
                <w:color w:val="auto"/>
                <w:sz w:val="24"/>
                <w:szCs w:val="24"/>
                <w:highlight w:val="none"/>
              </w:rPr>
            </w:pPr>
          </w:p>
        </w:tc>
        <w:tc>
          <w:tcPr>
            <w:tcW w:w="977" w:type="dxa"/>
            <w:vMerge w:val="continue"/>
            <w:tcBorders>
              <w:top w:val="single" w:color="auto" w:sz="4" w:space="0"/>
              <w:left w:val="nil"/>
              <w:bottom w:val="single" w:color="auto" w:sz="4" w:space="0"/>
              <w:right w:val="single" w:color="auto" w:sz="4" w:space="0"/>
            </w:tcBorders>
            <w:vAlign w:val="center"/>
          </w:tcPr>
          <w:p>
            <w:pPr>
              <w:spacing w:after="0" w:line="240" w:lineRule="auto"/>
              <w:ind w:right="0" w:firstLine="0"/>
              <w:jc w:val="center"/>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1" w:hRule="atLeast"/>
          <w:jc w:val="center"/>
        </w:trPr>
        <w:tc>
          <w:tcPr>
            <w:tcW w:w="174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项目占比</w:t>
            </w:r>
          </w:p>
        </w:tc>
        <w:tc>
          <w:tcPr>
            <w:tcW w:w="1134"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10%</w:t>
            </w:r>
          </w:p>
        </w:tc>
        <w:tc>
          <w:tcPr>
            <w:tcW w:w="992"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35%</w:t>
            </w:r>
          </w:p>
        </w:tc>
        <w:tc>
          <w:tcPr>
            <w:tcW w:w="992" w:type="dxa"/>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35%</w:t>
            </w:r>
          </w:p>
        </w:tc>
        <w:tc>
          <w:tcPr>
            <w:tcW w:w="1134"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5%</w:t>
            </w:r>
          </w:p>
        </w:tc>
        <w:tc>
          <w:tcPr>
            <w:tcW w:w="1134"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5%</w:t>
            </w:r>
          </w:p>
        </w:tc>
        <w:tc>
          <w:tcPr>
            <w:tcW w:w="992"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5%</w:t>
            </w:r>
          </w:p>
        </w:tc>
        <w:tc>
          <w:tcPr>
            <w:tcW w:w="977"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5%</w:t>
            </w:r>
          </w:p>
        </w:tc>
      </w:tr>
    </w:tbl>
    <w:p>
      <w:pPr>
        <w:widowControl w:val="0"/>
        <w:autoSpaceDE w:val="0"/>
        <w:spacing w:after="0" w:line="360" w:lineRule="auto"/>
        <w:ind w:right="0" w:firstLine="0"/>
        <w:rPr>
          <w:rFonts w:ascii="宋体" w:hAnsi="宋体" w:eastAsia="宋体" w:cs="Times New Roman"/>
          <w:b/>
          <w:bCs/>
          <w:color w:val="auto"/>
          <w:sz w:val="24"/>
          <w:szCs w:val="24"/>
          <w:highlight w:val="none"/>
        </w:rPr>
      </w:pPr>
    </w:p>
    <w:p>
      <w:pPr>
        <w:widowControl w:val="0"/>
        <w:autoSpaceDE w:val="0"/>
        <w:spacing w:after="0" w:line="360" w:lineRule="auto"/>
        <w:ind w:left="-547" w:leftChars="-171" w:right="0" w:firstLine="843" w:firstLineChars="350"/>
        <w:jc w:val="center"/>
        <w:rPr>
          <w:rFonts w:hint="eastAsia" w:eastAsia="仿宋" w:cs="Times New Roman"/>
          <w:b/>
          <w:color w:val="auto"/>
          <w:kern w:val="0"/>
          <w:sz w:val="24"/>
          <w:szCs w:val="24"/>
          <w:highlight w:val="none"/>
          <w:lang w:eastAsia="zh-CN"/>
        </w:rPr>
      </w:pPr>
      <w:r>
        <w:rPr>
          <w:rFonts w:hint="eastAsia" w:cs="Times New Roman"/>
          <w:b/>
          <w:bCs/>
          <w:color w:val="auto"/>
          <w:sz w:val="24"/>
          <w:szCs w:val="24"/>
          <w:highlight w:val="none"/>
        </w:rPr>
        <w:t>表2  各评价指标内容及分值表</w:t>
      </w:r>
    </w:p>
    <w:tbl>
      <w:tblPr>
        <w:tblStyle w:val="8"/>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727"/>
        <w:gridCol w:w="1773"/>
        <w:gridCol w:w="855"/>
        <w:gridCol w:w="2836"/>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48"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b/>
                <w:bCs/>
                <w:kern w:val="0"/>
                <w:sz w:val="24"/>
                <w:szCs w:val="24"/>
                <w:highlight w:val="none"/>
              </w:rPr>
              <w:t>考核项目</w:t>
            </w:r>
          </w:p>
        </w:tc>
        <w:tc>
          <w:tcPr>
            <w:tcW w:w="2500" w:type="dxa"/>
            <w:gridSpan w:val="2"/>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b/>
                <w:bCs/>
                <w:kern w:val="0"/>
                <w:sz w:val="24"/>
                <w:szCs w:val="24"/>
                <w:highlight w:val="none"/>
              </w:rPr>
              <w:t>评价类别</w:t>
            </w:r>
          </w:p>
        </w:tc>
        <w:tc>
          <w:tcPr>
            <w:tcW w:w="855"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b/>
                <w:bCs/>
                <w:kern w:val="0"/>
                <w:sz w:val="24"/>
                <w:szCs w:val="24"/>
                <w:highlight w:val="none"/>
              </w:rPr>
              <w:t>权重(</w:t>
            </w:r>
            <w:r>
              <w:rPr>
                <w:rFonts w:cs="Times New Roman"/>
                <w:b/>
                <w:bCs/>
                <w:kern w:val="0"/>
                <w:sz w:val="24"/>
                <w:szCs w:val="24"/>
                <w:highlight w:val="none"/>
              </w:rPr>
              <w:t>Wi)</w:t>
            </w:r>
          </w:p>
        </w:tc>
        <w:tc>
          <w:tcPr>
            <w:tcW w:w="283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b/>
                <w:bCs/>
                <w:kern w:val="0"/>
                <w:sz w:val="24"/>
                <w:szCs w:val="24"/>
                <w:highlight w:val="none"/>
              </w:rPr>
              <w:t>评价内容</w:t>
            </w:r>
          </w:p>
        </w:tc>
        <w:tc>
          <w:tcPr>
            <w:tcW w:w="1574"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b/>
                <w:bCs/>
                <w:kern w:val="0"/>
                <w:sz w:val="24"/>
                <w:szCs w:val="24"/>
                <w:highlight w:val="none"/>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48"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kern w:val="0"/>
                <w:sz w:val="24"/>
                <w:szCs w:val="24"/>
                <w:highlight w:val="none"/>
              </w:rPr>
            </w:pPr>
            <w:r>
              <w:rPr>
                <w:rFonts w:hint="eastAsia" w:cs="Times New Roman"/>
                <w:b/>
                <w:bCs/>
                <w:color w:val="auto"/>
                <w:kern w:val="0"/>
                <w:sz w:val="24"/>
                <w:szCs w:val="24"/>
                <w:highlight w:val="none"/>
              </w:rPr>
              <w:t>德育（S</w:t>
            </w:r>
            <w:r>
              <w:rPr>
                <w:rFonts w:hint="eastAsia" w:cs="Times New Roman"/>
                <w:b/>
                <w:bCs/>
                <w:color w:val="auto"/>
                <w:kern w:val="0"/>
                <w:sz w:val="24"/>
                <w:szCs w:val="24"/>
                <w:highlight w:val="none"/>
                <w:vertAlign w:val="subscript"/>
              </w:rPr>
              <w:t>1</w:t>
            </w:r>
            <w:r>
              <w:rPr>
                <w:rFonts w:hint="eastAsia" w:cs="Times New Roman"/>
                <w:b/>
                <w:bCs/>
                <w:color w:val="auto"/>
                <w:kern w:val="0"/>
                <w:sz w:val="24"/>
                <w:szCs w:val="24"/>
                <w:highlight w:val="none"/>
              </w:rPr>
              <w:t>)</w:t>
            </w:r>
          </w:p>
        </w:tc>
        <w:tc>
          <w:tcPr>
            <w:tcW w:w="2500" w:type="dxa"/>
            <w:gridSpan w:val="2"/>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基本素质评价</w:t>
            </w:r>
          </w:p>
        </w:tc>
        <w:tc>
          <w:tcPr>
            <w:tcW w:w="855"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w:t>
            </w:r>
          </w:p>
        </w:tc>
        <w:tc>
          <w:tcPr>
            <w:tcW w:w="283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有无负面事项</w:t>
            </w:r>
          </w:p>
        </w:tc>
        <w:tc>
          <w:tcPr>
            <w:tcW w:w="1574"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4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b/>
                <w:bCs/>
                <w:color w:val="auto"/>
                <w:kern w:val="0"/>
                <w:sz w:val="24"/>
                <w:szCs w:val="24"/>
                <w:highlight w:val="none"/>
              </w:rPr>
            </w:pPr>
          </w:p>
        </w:tc>
        <w:tc>
          <w:tcPr>
            <w:tcW w:w="2500" w:type="dxa"/>
            <w:gridSpan w:val="2"/>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个性能力评价</w:t>
            </w:r>
          </w:p>
        </w:tc>
        <w:tc>
          <w:tcPr>
            <w:tcW w:w="855"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10</w:t>
            </w:r>
          </w:p>
        </w:tc>
        <w:tc>
          <w:tcPr>
            <w:tcW w:w="283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高水平成果/一般性成果</w:t>
            </w:r>
          </w:p>
        </w:tc>
        <w:tc>
          <w:tcPr>
            <w:tcW w:w="1574"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百分制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48"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kern w:val="0"/>
                <w:sz w:val="24"/>
                <w:szCs w:val="24"/>
                <w:highlight w:val="none"/>
              </w:rPr>
            </w:pPr>
            <w:r>
              <w:rPr>
                <w:rFonts w:hint="eastAsia" w:cs="Times New Roman"/>
                <w:b/>
                <w:bCs/>
                <w:color w:val="auto"/>
                <w:kern w:val="0"/>
                <w:sz w:val="24"/>
                <w:szCs w:val="24"/>
                <w:highlight w:val="none"/>
              </w:rPr>
              <w:t>智育（S</w:t>
            </w:r>
            <w:r>
              <w:rPr>
                <w:rFonts w:hint="eastAsia" w:cs="Times New Roman"/>
                <w:b/>
                <w:bCs/>
                <w:color w:val="auto"/>
                <w:kern w:val="0"/>
                <w:sz w:val="24"/>
                <w:szCs w:val="24"/>
                <w:highlight w:val="none"/>
                <w:vertAlign w:val="subscript"/>
              </w:rPr>
              <w:t>2</w:t>
            </w:r>
            <w:r>
              <w:rPr>
                <w:rFonts w:hint="eastAsia" w:cs="Times New Roman"/>
                <w:b/>
                <w:bCs/>
                <w:color w:val="auto"/>
                <w:kern w:val="0"/>
                <w:sz w:val="24"/>
                <w:szCs w:val="24"/>
                <w:highlight w:val="none"/>
              </w:rPr>
              <w:t>)</w:t>
            </w:r>
          </w:p>
        </w:tc>
        <w:tc>
          <w:tcPr>
            <w:tcW w:w="2500" w:type="dxa"/>
            <w:gridSpan w:val="2"/>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基本素质评价</w:t>
            </w:r>
          </w:p>
        </w:tc>
        <w:tc>
          <w:tcPr>
            <w:tcW w:w="855"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w:t>
            </w:r>
          </w:p>
        </w:tc>
        <w:tc>
          <w:tcPr>
            <w:tcW w:w="283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有无负面事项</w:t>
            </w:r>
          </w:p>
        </w:tc>
        <w:tc>
          <w:tcPr>
            <w:tcW w:w="1574"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4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b/>
                <w:bCs/>
                <w:color w:val="auto"/>
                <w:kern w:val="0"/>
                <w:sz w:val="24"/>
                <w:szCs w:val="24"/>
                <w:highlight w:val="none"/>
              </w:rPr>
            </w:pPr>
          </w:p>
        </w:tc>
        <w:tc>
          <w:tcPr>
            <w:tcW w:w="727"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kern w:val="0"/>
                <w:sz w:val="24"/>
                <w:szCs w:val="24"/>
                <w:highlight w:val="none"/>
              </w:rPr>
            </w:pPr>
            <w:r>
              <w:rPr>
                <w:rFonts w:hint="eastAsia" w:cs="Times New Roman"/>
                <w:color w:val="auto"/>
                <w:kern w:val="0"/>
                <w:sz w:val="24"/>
                <w:szCs w:val="24"/>
                <w:highlight w:val="none"/>
              </w:rPr>
              <w:t>个性能力</w:t>
            </w:r>
          </w:p>
          <w:p>
            <w:pPr>
              <w:widowControl w:val="0"/>
              <w:autoSpaceDE w:val="0"/>
              <w:spacing w:after="0" w:line="360" w:lineRule="auto"/>
              <w:ind w:right="0" w:firstLine="0"/>
              <w:jc w:val="center"/>
              <w:rPr>
                <w:rFonts w:cs="Times New Roman"/>
                <w:color w:val="auto"/>
                <w:kern w:val="0"/>
                <w:sz w:val="24"/>
                <w:szCs w:val="24"/>
                <w:highlight w:val="none"/>
              </w:rPr>
            </w:pPr>
            <w:r>
              <w:rPr>
                <w:rFonts w:hint="eastAsia" w:cs="Times New Roman"/>
                <w:color w:val="auto"/>
                <w:kern w:val="0"/>
                <w:sz w:val="24"/>
                <w:szCs w:val="24"/>
                <w:highlight w:val="none"/>
              </w:rPr>
              <w:t>评价</w:t>
            </w:r>
          </w:p>
        </w:tc>
        <w:tc>
          <w:tcPr>
            <w:tcW w:w="1773"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kern w:val="0"/>
                <w:sz w:val="24"/>
                <w:szCs w:val="24"/>
                <w:highlight w:val="none"/>
              </w:rPr>
            </w:pPr>
            <w:r>
              <w:rPr>
                <w:rFonts w:hint="eastAsia" w:cs="Times New Roman"/>
                <w:color w:val="auto"/>
                <w:kern w:val="0"/>
                <w:sz w:val="24"/>
                <w:szCs w:val="24"/>
                <w:highlight w:val="none"/>
              </w:rPr>
              <w:t>学业成绩</w:t>
            </w:r>
          </w:p>
        </w:tc>
        <w:tc>
          <w:tcPr>
            <w:tcW w:w="855"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35</w:t>
            </w:r>
          </w:p>
        </w:tc>
        <w:tc>
          <w:tcPr>
            <w:tcW w:w="283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学业成绩</w:t>
            </w:r>
          </w:p>
        </w:tc>
        <w:tc>
          <w:tcPr>
            <w:tcW w:w="1574"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百分制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4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b/>
                <w:bCs/>
                <w:color w:val="auto"/>
                <w:kern w:val="0"/>
                <w:sz w:val="24"/>
                <w:szCs w:val="24"/>
                <w:highlight w:val="none"/>
              </w:rPr>
            </w:pPr>
          </w:p>
        </w:tc>
        <w:tc>
          <w:tcPr>
            <w:tcW w:w="2500"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kern w:val="0"/>
                <w:sz w:val="24"/>
                <w:szCs w:val="24"/>
                <w:highlight w:val="none"/>
              </w:rPr>
            </w:pPr>
          </w:p>
        </w:tc>
        <w:tc>
          <w:tcPr>
            <w:tcW w:w="1773"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科研与实践成果（与专业相关）</w:t>
            </w:r>
          </w:p>
        </w:tc>
        <w:tc>
          <w:tcPr>
            <w:tcW w:w="855"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color w:val="auto"/>
                <w:kern w:val="0"/>
                <w:sz w:val="24"/>
                <w:szCs w:val="24"/>
                <w:highlight w:val="none"/>
              </w:rPr>
              <w:t>35</w:t>
            </w:r>
          </w:p>
        </w:tc>
        <w:tc>
          <w:tcPr>
            <w:tcW w:w="283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高水平成果/一般性成果</w:t>
            </w:r>
          </w:p>
        </w:tc>
        <w:tc>
          <w:tcPr>
            <w:tcW w:w="1574"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百分制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4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b/>
                <w:bCs/>
                <w:color w:val="auto"/>
                <w:kern w:val="0"/>
                <w:sz w:val="24"/>
                <w:szCs w:val="24"/>
                <w:highlight w:val="none"/>
              </w:rPr>
            </w:pPr>
          </w:p>
        </w:tc>
        <w:tc>
          <w:tcPr>
            <w:tcW w:w="2500"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kern w:val="0"/>
                <w:sz w:val="24"/>
                <w:szCs w:val="24"/>
                <w:highlight w:val="none"/>
              </w:rPr>
            </w:pPr>
          </w:p>
        </w:tc>
        <w:tc>
          <w:tcPr>
            <w:tcW w:w="1773"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kern w:val="0"/>
                <w:sz w:val="24"/>
                <w:szCs w:val="24"/>
                <w:highlight w:val="none"/>
              </w:rPr>
            </w:pPr>
            <w:r>
              <w:rPr>
                <w:rFonts w:hint="eastAsia" w:cs="Times New Roman"/>
                <w:color w:val="auto"/>
                <w:kern w:val="0"/>
                <w:sz w:val="24"/>
                <w:szCs w:val="24"/>
                <w:highlight w:val="none"/>
              </w:rPr>
              <w:t>法律职业资格考试</w:t>
            </w:r>
          </w:p>
        </w:tc>
        <w:tc>
          <w:tcPr>
            <w:tcW w:w="855"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color w:val="auto"/>
                <w:kern w:val="0"/>
                <w:sz w:val="24"/>
                <w:szCs w:val="24"/>
                <w:highlight w:val="none"/>
              </w:rPr>
              <w:t>5</w:t>
            </w:r>
          </w:p>
        </w:tc>
        <w:tc>
          <w:tcPr>
            <w:tcW w:w="283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color w:val="auto"/>
                <w:kern w:val="0"/>
                <w:sz w:val="24"/>
                <w:szCs w:val="24"/>
                <w:highlight w:val="none"/>
              </w:rPr>
              <w:t>是否通过法律职业资格考试</w:t>
            </w:r>
          </w:p>
        </w:tc>
        <w:tc>
          <w:tcPr>
            <w:tcW w:w="1574"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百分制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48"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kern w:val="0"/>
                <w:sz w:val="24"/>
                <w:szCs w:val="24"/>
                <w:highlight w:val="none"/>
              </w:rPr>
            </w:pPr>
            <w:r>
              <w:rPr>
                <w:rFonts w:hint="eastAsia" w:cs="Times New Roman"/>
                <w:b/>
                <w:bCs/>
                <w:color w:val="auto"/>
                <w:kern w:val="0"/>
                <w:sz w:val="24"/>
                <w:szCs w:val="24"/>
                <w:highlight w:val="none"/>
              </w:rPr>
              <w:t>体育（S</w:t>
            </w:r>
            <w:r>
              <w:rPr>
                <w:rFonts w:hint="eastAsia" w:cs="Times New Roman"/>
                <w:b/>
                <w:bCs/>
                <w:color w:val="auto"/>
                <w:kern w:val="0"/>
                <w:sz w:val="24"/>
                <w:szCs w:val="24"/>
                <w:highlight w:val="none"/>
                <w:vertAlign w:val="subscript"/>
              </w:rPr>
              <w:t>3</w:t>
            </w:r>
            <w:r>
              <w:rPr>
                <w:rFonts w:hint="eastAsia" w:cs="Times New Roman"/>
                <w:b/>
                <w:bCs/>
                <w:color w:val="auto"/>
                <w:kern w:val="0"/>
                <w:sz w:val="24"/>
                <w:szCs w:val="24"/>
                <w:highlight w:val="none"/>
              </w:rPr>
              <w:t>)</w:t>
            </w:r>
          </w:p>
        </w:tc>
        <w:tc>
          <w:tcPr>
            <w:tcW w:w="2500" w:type="dxa"/>
            <w:gridSpan w:val="2"/>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基本素质评价</w:t>
            </w:r>
          </w:p>
        </w:tc>
        <w:tc>
          <w:tcPr>
            <w:tcW w:w="855"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w:t>
            </w:r>
          </w:p>
        </w:tc>
        <w:tc>
          <w:tcPr>
            <w:tcW w:w="283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有无负面事项</w:t>
            </w:r>
          </w:p>
        </w:tc>
        <w:tc>
          <w:tcPr>
            <w:tcW w:w="1574"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4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b/>
                <w:bCs/>
                <w:color w:val="auto"/>
                <w:kern w:val="0"/>
                <w:sz w:val="24"/>
                <w:szCs w:val="24"/>
                <w:highlight w:val="none"/>
              </w:rPr>
            </w:pPr>
          </w:p>
        </w:tc>
        <w:tc>
          <w:tcPr>
            <w:tcW w:w="2500" w:type="dxa"/>
            <w:gridSpan w:val="2"/>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个性能力评价</w:t>
            </w:r>
          </w:p>
        </w:tc>
        <w:tc>
          <w:tcPr>
            <w:tcW w:w="855"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5</w:t>
            </w:r>
          </w:p>
        </w:tc>
        <w:tc>
          <w:tcPr>
            <w:tcW w:w="283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高水平成果/一般性成果</w:t>
            </w:r>
          </w:p>
        </w:tc>
        <w:tc>
          <w:tcPr>
            <w:tcW w:w="1574"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百分制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48"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kern w:val="0"/>
                <w:sz w:val="24"/>
                <w:szCs w:val="24"/>
                <w:highlight w:val="none"/>
              </w:rPr>
            </w:pPr>
            <w:r>
              <w:rPr>
                <w:rFonts w:hint="eastAsia" w:cs="Times New Roman"/>
                <w:b/>
                <w:bCs/>
                <w:color w:val="auto"/>
                <w:kern w:val="0"/>
                <w:sz w:val="24"/>
                <w:szCs w:val="24"/>
                <w:highlight w:val="none"/>
              </w:rPr>
              <w:t>美育（S</w:t>
            </w:r>
            <w:r>
              <w:rPr>
                <w:rFonts w:hint="eastAsia" w:cs="Times New Roman"/>
                <w:b/>
                <w:bCs/>
                <w:color w:val="auto"/>
                <w:kern w:val="0"/>
                <w:sz w:val="24"/>
                <w:szCs w:val="24"/>
                <w:highlight w:val="none"/>
                <w:vertAlign w:val="subscript"/>
              </w:rPr>
              <w:t>4</w:t>
            </w:r>
            <w:r>
              <w:rPr>
                <w:rFonts w:hint="eastAsia" w:cs="Times New Roman"/>
                <w:b/>
                <w:bCs/>
                <w:color w:val="auto"/>
                <w:kern w:val="0"/>
                <w:sz w:val="24"/>
                <w:szCs w:val="24"/>
                <w:highlight w:val="none"/>
              </w:rPr>
              <w:t>)</w:t>
            </w:r>
          </w:p>
        </w:tc>
        <w:tc>
          <w:tcPr>
            <w:tcW w:w="2500" w:type="dxa"/>
            <w:gridSpan w:val="2"/>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基本素质评价</w:t>
            </w:r>
          </w:p>
        </w:tc>
        <w:tc>
          <w:tcPr>
            <w:tcW w:w="855"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w:t>
            </w:r>
          </w:p>
        </w:tc>
        <w:tc>
          <w:tcPr>
            <w:tcW w:w="283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有无负面事项</w:t>
            </w:r>
          </w:p>
        </w:tc>
        <w:tc>
          <w:tcPr>
            <w:tcW w:w="1574"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4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b/>
                <w:bCs/>
                <w:color w:val="auto"/>
                <w:kern w:val="0"/>
                <w:sz w:val="24"/>
                <w:szCs w:val="24"/>
                <w:highlight w:val="none"/>
              </w:rPr>
            </w:pPr>
          </w:p>
        </w:tc>
        <w:tc>
          <w:tcPr>
            <w:tcW w:w="2500" w:type="dxa"/>
            <w:gridSpan w:val="2"/>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个性能力评价</w:t>
            </w:r>
          </w:p>
        </w:tc>
        <w:tc>
          <w:tcPr>
            <w:tcW w:w="855"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5</w:t>
            </w:r>
          </w:p>
        </w:tc>
        <w:tc>
          <w:tcPr>
            <w:tcW w:w="283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高水平成果/一般性成果</w:t>
            </w:r>
          </w:p>
        </w:tc>
        <w:tc>
          <w:tcPr>
            <w:tcW w:w="1574"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百分制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48"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kern w:val="0"/>
                <w:sz w:val="24"/>
                <w:szCs w:val="24"/>
                <w:highlight w:val="none"/>
              </w:rPr>
            </w:pPr>
            <w:r>
              <w:rPr>
                <w:rFonts w:hint="eastAsia" w:cs="Times New Roman"/>
                <w:b/>
                <w:bCs/>
                <w:color w:val="auto"/>
                <w:kern w:val="0"/>
                <w:sz w:val="24"/>
                <w:szCs w:val="24"/>
                <w:highlight w:val="none"/>
              </w:rPr>
              <w:t>劳育（S</w:t>
            </w:r>
            <w:r>
              <w:rPr>
                <w:rFonts w:hint="eastAsia" w:cs="Times New Roman"/>
                <w:b/>
                <w:bCs/>
                <w:color w:val="auto"/>
                <w:kern w:val="0"/>
                <w:sz w:val="24"/>
                <w:szCs w:val="24"/>
                <w:highlight w:val="none"/>
                <w:vertAlign w:val="subscript"/>
              </w:rPr>
              <w:t>5</w:t>
            </w:r>
            <w:r>
              <w:rPr>
                <w:rFonts w:hint="eastAsia" w:cs="Times New Roman"/>
                <w:b/>
                <w:bCs/>
                <w:color w:val="auto"/>
                <w:kern w:val="0"/>
                <w:sz w:val="24"/>
                <w:szCs w:val="24"/>
                <w:highlight w:val="none"/>
              </w:rPr>
              <w:t>)</w:t>
            </w:r>
          </w:p>
        </w:tc>
        <w:tc>
          <w:tcPr>
            <w:tcW w:w="2500" w:type="dxa"/>
            <w:gridSpan w:val="2"/>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基本素质评价</w:t>
            </w:r>
          </w:p>
        </w:tc>
        <w:tc>
          <w:tcPr>
            <w:tcW w:w="855"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w:t>
            </w:r>
          </w:p>
        </w:tc>
        <w:tc>
          <w:tcPr>
            <w:tcW w:w="283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有无负面事项</w:t>
            </w:r>
          </w:p>
        </w:tc>
        <w:tc>
          <w:tcPr>
            <w:tcW w:w="1574"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4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b/>
                <w:bCs/>
                <w:color w:val="auto"/>
                <w:kern w:val="0"/>
                <w:sz w:val="24"/>
                <w:szCs w:val="24"/>
                <w:highlight w:val="none"/>
              </w:rPr>
            </w:pPr>
          </w:p>
        </w:tc>
        <w:tc>
          <w:tcPr>
            <w:tcW w:w="2500" w:type="dxa"/>
            <w:gridSpan w:val="2"/>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个性能力评价</w:t>
            </w:r>
          </w:p>
        </w:tc>
        <w:tc>
          <w:tcPr>
            <w:tcW w:w="855"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5</w:t>
            </w:r>
          </w:p>
        </w:tc>
        <w:tc>
          <w:tcPr>
            <w:tcW w:w="283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高水平成果/一般性成果</w:t>
            </w:r>
          </w:p>
        </w:tc>
        <w:tc>
          <w:tcPr>
            <w:tcW w:w="1574"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kern w:val="0"/>
                <w:sz w:val="24"/>
                <w:szCs w:val="24"/>
                <w:highlight w:val="none"/>
              </w:rPr>
            </w:pPr>
            <w:r>
              <w:rPr>
                <w:rFonts w:hint="eastAsia" w:cs="Times New Roman"/>
                <w:kern w:val="0"/>
                <w:sz w:val="24"/>
                <w:szCs w:val="24"/>
                <w:highlight w:val="none"/>
              </w:rPr>
              <w:t>百分制</w:t>
            </w:r>
          </w:p>
        </w:tc>
      </w:tr>
    </w:tbl>
    <w:p>
      <w:pPr>
        <w:spacing w:after="83" w:line="259" w:lineRule="auto"/>
        <w:ind w:left="468" w:right="0" w:hanging="10"/>
        <w:rPr>
          <w:highlight w:val="none"/>
        </w:rPr>
      </w:pPr>
      <w:r>
        <w:rPr>
          <w:sz w:val="24"/>
          <w:highlight w:val="none"/>
        </w:rPr>
        <w:t>注：</w:t>
      </w:r>
    </w:p>
    <w:p>
      <w:pPr>
        <w:spacing w:after="0" w:line="323" w:lineRule="auto"/>
        <w:ind w:left="-15" w:right="0" w:firstLine="458"/>
        <w:rPr>
          <w:highlight w:val="none"/>
        </w:rPr>
      </w:pPr>
      <w:r>
        <w:rPr>
          <w:sz w:val="24"/>
          <w:highlight w:val="none"/>
        </w:rPr>
        <w:t>1.</w:t>
      </w:r>
      <w:r>
        <w:rPr>
          <w:rFonts w:hint="eastAsia"/>
          <w:sz w:val="24"/>
          <w:highlight w:val="none"/>
        </w:rPr>
        <w:t>中心</w:t>
      </w:r>
      <w:r>
        <w:rPr>
          <w:sz w:val="24"/>
          <w:highlight w:val="none"/>
        </w:rPr>
        <w:t>可以根据学习阶段的不同要求，适当调整各项指标的权重。</w:t>
      </w:r>
    </w:p>
    <w:p>
      <w:pPr>
        <w:spacing w:after="0" w:line="323" w:lineRule="auto"/>
        <w:ind w:left="-15" w:right="0" w:firstLine="468"/>
        <w:rPr>
          <w:highlight w:val="none"/>
        </w:rPr>
      </w:pPr>
      <w:r>
        <w:rPr>
          <w:sz w:val="24"/>
          <w:highlight w:val="none"/>
        </w:rPr>
        <w:t>2.智育方面的科研与实践成果专指和学业相关的科研与实践成果。其他方面的实践成果，根据实际情况纳入到德育、体育、美育、劳育评价。</w:t>
      </w:r>
    </w:p>
    <w:p>
      <w:pPr>
        <w:spacing w:after="0" w:line="324" w:lineRule="auto"/>
        <w:ind w:left="471" w:right="0" w:hanging="11"/>
        <w:rPr>
          <w:highlight w:val="none"/>
        </w:rPr>
      </w:pPr>
      <w:r>
        <w:rPr>
          <w:sz w:val="24"/>
          <w:highlight w:val="none"/>
        </w:rPr>
        <w:t>3.S1-S5为研究生在该个性能力评价指标所得的分数，满分100分。</w:t>
      </w:r>
    </w:p>
    <w:p>
      <w:pPr>
        <w:ind w:left="-15" w:right="0"/>
        <w:rPr>
          <w:highlight w:val="none"/>
        </w:rPr>
      </w:pPr>
      <w:r>
        <w:rPr>
          <w:highlight w:val="none"/>
        </w:rPr>
        <w:t>第十</w:t>
      </w:r>
      <w:r>
        <w:rPr>
          <w:rFonts w:hint="eastAsia"/>
          <w:highlight w:val="none"/>
        </w:rPr>
        <w:t>一</w:t>
      </w:r>
      <w:r>
        <w:rPr>
          <w:highlight w:val="none"/>
        </w:rPr>
        <w:t>条</w:t>
      </w:r>
      <w:r>
        <w:rPr>
          <w:rFonts w:hint="eastAsia"/>
          <w:highlight w:val="none"/>
        </w:rPr>
        <w:t xml:space="preserve"> </w:t>
      </w:r>
      <w:r>
        <w:rPr>
          <w:highlight w:val="none"/>
        </w:rPr>
        <w:t>在具体评价指标的细化落实上，应当突出评价研究生思想政治表现和研究生科研创新与社会实践能力。必须引导研究生坚定理想信念，厚植爱党、爱国、爱社会主义的情感，认真学习专业知识，努力提高学术水平，注重强化实践能力。</w:t>
      </w:r>
    </w:p>
    <w:p>
      <w:pPr>
        <w:ind w:left="-15" w:right="0"/>
        <w:rPr>
          <w:highlight w:val="none"/>
        </w:rPr>
      </w:pPr>
      <w:r>
        <w:rPr>
          <w:highlight w:val="none"/>
        </w:rPr>
        <w:t>第十</w:t>
      </w:r>
      <w:r>
        <w:rPr>
          <w:rFonts w:hint="eastAsia"/>
          <w:highlight w:val="none"/>
        </w:rPr>
        <w:t>二</w:t>
      </w:r>
      <w:r>
        <w:rPr>
          <w:highlight w:val="none"/>
        </w:rPr>
        <w:t>条 若研究生在“德育评价”“智育评价”“体育评价”“美育评价”“劳育评价”的某一级指标做出特殊贡献或取得突出成绩，其他指标基本素质评价为“合格”等级，经</w:t>
      </w:r>
      <w:r>
        <w:rPr>
          <w:rFonts w:hint="eastAsia"/>
          <w:highlight w:val="none"/>
        </w:rPr>
        <w:t>中心</w:t>
      </w:r>
      <w:r>
        <w:rPr>
          <w:highlight w:val="none"/>
        </w:rPr>
        <w:t>奖学金评审委员会认定，可获得优先推荐“优秀”等级。</w:t>
      </w:r>
    </w:p>
    <w:p>
      <w:pPr>
        <w:spacing w:after="545" w:line="334" w:lineRule="auto"/>
        <w:ind w:left="-17" w:right="0" w:firstLine="618"/>
        <w:rPr>
          <w:highlight w:val="none"/>
        </w:rPr>
      </w:pPr>
      <w:r>
        <w:rPr>
          <w:highlight w:val="none"/>
        </w:rPr>
        <w:t>第十</w:t>
      </w:r>
      <w:r>
        <w:rPr>
          <w:rFonts w:hint="eastAsia"/>
          <w:highlight w:val="none"/>
        </w:rPr>
        <w:t>三</w:t>
      </w:r>
      <w:r>
        <w:rPr>
          <w:highlight w:val="none"/>
        </w:rPr>
        <w:t>条 各项评价指标的个性能力实行代表作评价制度，</w:t>
      </w:r>
      <w:r>
        <w:rPr>
          <w:rFonts w:hint="eastAsia"/>
          <w:highlight w:val="none"/>
        </w:rPr>
        <w:t>即每项评价指标代表作不超过2个，</w:t>
      </w:r>
      <w:r>
        <w:rPr>
          <w:highlight w:val="none"/>
        </w:rPr>
        <w:t>可参照《中南财经政法大学研究生科研与实践奖励办法（试行）》进行评价。</w:t>
      </w:r>
    </w:p>
    <w:p>
      <w:pPr>
        <w:pStyle w:val="2"/>
        <w:ind w:left="293" w:right="466"/>
        <w:rPr>
          <w:b/>
          <w:bCs/>
          <w:highlight w:val="none"/>
        </w:rPr>
      </w:pPr>
      <w:r>
        <w:rPr>
          <w:b/>
          <w:bCs/>
          <w:highlight w:val="none"/>
        </w:rPr>
        <w:t>第四章 德育评价</w:t>
      </w:r>
    </w:p>
    <w:p>
      <w:pPr>
        <w:ind w:left="-15" w:right="0"/>
        <w:rPr>
          <w:highlight w:val="none"/>
        </w:rPr>
      </w:pPr>
      <w:r>
        <w:rPr>
          <w:highlight w:val="none"/>
        </w:rPr>
        <w:t>第十</w:t>
      </w:r>
      <w:r>
        <w:rPr>
          <w:rFonts w:hint="eastAsia"/>
          <w:highlight w:val="none"/>
        </w:rPr>
        <w:t>四</w:t>
      </w:r>
      <w:r>
        <w:rPr>
          <w:highlight w:val="none"/>
        </w:rPr>
        <w:t>条 德育评价以过程评价为主，客观记录研究生日常品行和突出表现，引导学生养成良好思想道德、心理素质和行为习惯；加强政治引领，增强“四个意识”、坚定“四个自信”、做到“两个维护”，立志听党话、跟党走，扎根人民、奉献国家。德育评价以学生日常品行和突出表现相结合的方式进行评价，并将其作为学生综合素质评价的重要内容。</w:t>
      </w:r>
    </w:p>
    <w:p>
      <w:pPr>
        <w:ind w:left="-15" w:right="0"/>
        <w:rPr>
          <w:highlight w:val="none"/>
        </w:rPr>
      </w:pPr>
      <w:r>
        <w:rPr>
          <w:highlight w:val="none"/>
        </w:rPr>
        <w:t>第十</w:t>
      </w:r>
      <w:r>
        <w:rPr>
          <w:rFonts w:hint="eastAsia"/>
          <w:highlight w:val="none"/>
        </w:rPr>
        <w:t>五</w:t>
      </w:r>
      <w:r>
        <w:rPr>
          <w:highlight w:val="none"/>
        </w:rPr>
        <w:t>条 德育基本素质评价内容主要根据《高等学校学生行为准则》《中南财经政法大学研究生学籍管理规定》等文件基本要求，考察研究生在校期间思想政治表现、个人道德品质、纪律观念意识、理论学习情况、参与德育活动等方面的表现，特别是践行社会主义核心价值观和弘扬中华优秀传统文化等情况。</w:t>
      </w:r>
    </w:p>
    <w:p>
      <w:pPr>
        <w:rPr>
          <w:highlight w:val="none"/>
        </w:rPr>
      </w:pPr>
      <w:r>
        <w:rPr>
          <w:highlight w:val="none"/>
        </w:rPr>
        <w:t>第十</w:t>
      </w:r>
      <w:r>
        <w:rPr>
          <w:rFonts w:hint="eastAsia"/>
          <w:highlight w:val="none"/>
        </w:rPr>
        <w:t>六</w:t>
      </w:r>
      <w:r>
        <w:rPr>
          <w:highlight w:val="none"/>
        </w:rPr>
        <w:t>条 德育基本素质评价以“研究生自评-班级考评小组评价-导师评价-辅导员评价-学院复核”五个维度开展。</w:t>
      </w:r>
    </w:p>
    <w:p>
      <w:pPr>
        <w:rPr>
          <w:highlight w:val="none"/>
        </w:rPr>
      </w:pPr>
      <w:r>
        <w:rPr>
          <w:rFonts w:hint="eastAsia"/>
          <w:highlight w:val="none"/>
        </w:rPr>
        <w:t>在评价周期内，</w:t>
      </w:r>
      <w:r>
        <w:rPr>
          <w:kern w:val="0"/>
          <w:sz w:val="31"/>
          <w:szCs w:val="31"/>
          <w:highlight w:val="none"/>
        </w:rPr>
        <w:t>完成以下项目中的任意</w:t>
      </w:r>
      <w:r>
        <w:rPr>
          <w:rFonts w:hint="eastAsia"/>
          <w:kern w:val="0"/>
          <w:sz w:val="31"/>
          <w:szCs w:val="31"/>
          <w:highlight w:val="none"/>
        </w:rPr>
        <w:t>两</w:t>
      </w:r>
      <w:r>
        <w:rPr>
          <w:kern w:val="0"/>
          <w:sz w:val="31"/>
          <w:szCs w:val="31"/>
          <w:highlight w:val="none"/>
        </w:rPr>
        <w:t>项（其中第5项为必选），研究生德育基本素质可评定为“合格”等级：</w:t>
      </w:r>
    </w:p>
    <w:p>
      <w:pPr>
        <w:rPr>
          <w:highlight w:val="none"/>
        </w:rPr>
      </w:pPr>
      <w:r>
        <w:rPr>
          <w:rFonts w:hint="eastAsia"/>
          <w:kern w:val="0"/>
          <w:sz w:val="31"/>
          <w:szCs w:val="31"/>
          <w:highlight w:val="none"/>
        </w:rPr>
        <w:t>1、参加学校法硕中</w:t>
      </w:r>
      <w:bookmarkStart w:id="1" w:name="_GoBack"/>
      <w:bookmarkEnd w:id="1"/>
      <w:r>
        <w:rPr>
          <w:rFonts w:hint="eastAsia"/>
          <w:kern w:val="0"/>
          <w:sz w:val="31"/>
          <w:szCs w:val="31"/>
          <w:highlight w:val="none"/>
        </w:rPr>
        <w:t>心组织的校园安全主题教育相关活动一次；</w:t>
      </w:r>
    </w:p>
    <w:p>
      <w:pPr>
        <w:rPr>
          <w:highlight w:val="none"/>
        </w:rPr>
      </w:pPr>
      <w:r>
        <w:rPr>
          <w:rFonts w:hint="eastAsia"/>
          <w:kern w:val="0"/>
          <w:sz w:val="31"/>
          <w:szCs w:val="31"/>
          <w:highlight w:val="none"/>
        </w:rPr>
        <w:t>2、参加学术道德与学术规范主题教育活动一次；</w:t>
      </w:r>
    </w:p>
    <w:p>
      <w:pPr>
        <w:rPr>
          <w:highlight w:val="none"/>
        </w:rPr>
      </w:pPr>
      <w:r>
        <w:rPr>
          <w:rFonts w:hint="eastAsia"/>
          <w:kern w:val="0"/>
          <w:sz w:val="31"/>
          <w:szCs w:val="31"/>
          <w:highlight w:val="none"/>
        </w:rPr>
        <w:t>3、参加学校法硕中心或者社区组织的志愿活动一次；</w:t>
      </w:r>
    </w:p>
    <w:p>
      <w:pPr>
        <w:rPr>
          <w:highlight w:val="none"/>
        </w:rPr>
      </w:pPr>
      <w:r>
        <w:rPr>
          <w:rFonts w:hint="eastAsia"/>
          <w:kern w:val="0"/>
          <w:sz w:val="31"/>
          <w:szCs w:val="31"/>
          <w:highlight w:val="none"/>
        </w:rPr>
        <w:t>4、参加学校法硕中心组织的中共精神传达教育系列讲座或活动一次；</w:t>
      </w:r>
    </w:p>
    <w:p>
      <w:pPr>
        <w:rPr>
          <w:highlight w:val="none"/>
        </w:rPr>
      </w:pPr>
      <w:r>
        <w:rPr>
          <w:rFonts w:hint="eastAsia"/>
          <w:kern w:val="0"/>
          <w:sz w:val="31"/>
          <w:szCs w:val="31"/>
          <w:highlight w:val="none"/>
        </w:rPr>
        <w:t>5、参加每周共青团中央发布的“青年大学习”，完成率达到90%以上；</w:t>
      </w:r>
    </w:p>
    <w:p>
      <w:pPr>
        <w:rPr>
          <w:highlight w:val="none"/>
        </w:rPr>
      </w:pPr>
      <w:r>
        <w:rPr>
          <w:rFonts w:hint="eastAsia"/>
          <w:kern w:val="0"/>
          <w:sz w:val="31"/>
          <w:szCs w:val="31"/>
          <w:highlight w:val="none"/>
        </w:rPr>
        <w:t>6、参加经法硕中心认定的其他德育类活动。</w:t>
      </w:r>
    </w:p>
    <w:p>
      <w:pPr>
        <w:rPr>
          <w:highlight w:val="none"/>
        </w:rPr>
      </w:pPr>
      <w:r>
        <w:rPr>
          <w:highlight w:val="none"/>
        </w:rPr>
        <w:t>第十</w:t>
      </w:r>
      <w:r>
        <w:rPr>
          <w:rFonts w:hint="eastAsia"/>
          <w:highlight w:val="none"/>
        </w:rPr>
        <w:t>七</w:t>
      </w:r>
      <w:r>
        <w:rPr>
          <w:highlight w:val="none"/>
        </w:rPr>
        <w:t>条</w:t>
      </w:r>
      <w:r>
        <w:rPr>
          <w:rFonts w:hint="eastAsia"/>
          <w:highlight w:val="none"/>
        </w:rPr>
        <w:t xml:space="preserve"> </w:t>
      </w:r>
      <w:r>
        <w:rPr>
          <w:kern w:val="0"/>
          <w:sz w:val="31"/>
          <w:szCs w:val="31"/>
          <w:highlight w:val="none"/>
        </w:rPr>
        <w:t>研究生在评价周期内有以下表现的，德育基</w:t>
      </w:r>
      <w:r>
        <w:rPr>
          <w:rFonts w:hint="eastAsia"/>
          <w:kern w:val="0"/>
          <w:sz w:val="31"/>
          <w:szCs w:val="31"/>
          <w:highlight w:val="none"/>
        </w:rPr>
        <w:t>本素质视为不合格：</w:t>
      </w:r>
    </w:p>
    <w:p>
      <w:pPr>
        <w:rPr>
          <w:highlight w:val="none"/>
        </w:rPr>
      </w:pPr>
      <w:r>
        <w:rPr>
          <w:rFonts w:hint="eastAsia"/>
          <w:kern w:val="0"/>
          <w:sz w:val="31"/>
          <w:szCs w:val="31"/>
          <w:highlight w:val="none"/>
        </w:rPr>
        <w:t>1、无故旷课超过3次（含本数）；</w:t>
      </w:r>
    </w:p>
    <w:p>
      <w:pPr>
        <w:rPr>
          <w:highlight w:val="none"/>
        </w:rPr>
      </w:pPr>
      <w:r>
        <w:rPr>
          <w:rFonts w:hint="eastAsia"/>
          <w:kern w:val="0"/>
          <w:sz w:val="31"/>
          <w:szCs w:val="31"/>
          <w:highlight w:val="none"/>
        </w:rPr>
        <w:t>2、研究生党员未请假缺席党支部活动和民主生活会达3次及以上；</w:t>
      </w:r>
    </w:p>
    <w:p>
      <w:pPr>
        <w:rPr>
          <w:rFonts w:hint="eastAsia" w:eastAsia="仿宋"/>
          <w:highlight w:val="none"/>
          <w:lang w:eastAsia="zh-CN"/>
        </w:rPr>
      </w:pPr>
      <w:r>
        <w:rPr>
          <w:highlight w:val="none"/>
        </w:rPr>
        <w:t>3</w:t>
      </w:r>
      <w:r>
        <w:rPr>
          <w:rFonts w:hint="eastAsia"/>
          <w:highlight w:val="none"/>
        </w:rPr>
        <w:t>、因自身原因引发影响法硕中心公众形象的事件或负面舆情事件；</w:t>
      </w:r>
    </w:p>
    <w:p>
      <w:pPr>
        <w:rPr>
          <w:highlight w:val="none"/>
        </w:rPr>
      </w:pPr>
      <w:r>
        <w:rPr>
          <w:highlight w:val="none"/>
        </w:rPr>
        <w:t>4</w:t>
      </w:r>
      <w:r>
        <w:rPr>
          <w:rFonts w:hint="eastAsia"/>
          <w:highlight w:val="none"/>
        </w:rPr>
        <w:t>、经法硕中心认定存在违纪违规等不良行为并造成恶劣影响的其他情形。</w:t>
      </w:r>
    </w:p>
    <w:p>
      <w:pPr>
        <w:ind w:left="-15" w:right="0"/>
        <w:rPr>
          <w:highlight w:val="none"/>
        </w:rPr>
      </w:pPr>
      <w:r>
        <w:rPr>
          <w:rFonts w:hint="eastAsia"/>
          <w:highlight w:val="none"/>
        </w:rPr>
        <w:t>第十八条</w:t>
      </w:r>
      <w:r>
        <w:rPr>
          <w:highlight w:val="none"/>
        </w:rPr>
        <w:t xml:space="preserve"> 德育个性能力评价以“研究生个人申报-班级考评小组审核-中心复核”三个维度开展。</w:t>
      </w:r>
    </w:p>
    <w:p>
      <w:pPr>
        <w:ind w:left="-15" w:right="0"/>
        <w:rPr>
          <w:highlight w:val="none"/>
        </w:rPr>
      </w:pPr>
      <w:r>
        <w:rPr>
          <w:highlight w:val="none"/>
        </w:rPr>
        <w:t>第十</w:t>
      </w:r>
      <w:r>
        <w:rPr>
          <w:rFonts w:hint="eastAsia"/>
          <w:highlight w:val="none"/>
        </w:rPr>
        <w:t>九</w:t>
      </w:r>
      <w:r>
        <w:rPr>
          <w:highlight w:val="none"/>
        </w:rPr>
        <w:t>条 德育个性能力评价内容包括但不限于自觉参加志愿服务等公益活动、积极参加党建主题类演讲比赛和征文等活动、获年度综合类荣誉表彰等展示我校研究生良好品行的项目。</w:t>
      </w:r>
      <w:r>
        <w:rPr>
          <w:rFonts w:hint="eastAsia"/>
          <w:highlight w:val="none"/>
        </w:rPr>
        <w:t>获表彰等荣誉的，按照如下情况进行加分。其中，校级荣誉称号以学校党委表彰、党委研究生工作部表彰、校团委五四表彰为准，院级荣誉称号以法硕中心年度表彰为准。参加校级及以上志愿服务或公益活动的每次加</w:t>
      </w:r>
      <w:r>
        <w:rPr>
          <w:highlight w:val="none"/>
        </w:rPr>
        <w:t>0.5分，参加院级志愿服务或公益活动的每次加0.3分。</w:t>
      </w:r>
    </w:p>
    <w:p>
      <w:pPr>
        <w:widowControl w:val="0"/>
        <w:autoSpaceDE w:val="0"/>
        <w:spacing w:after="0" w:line="360" w:lineRule="auto"/>
        <w:ind w:right="0" w:firstLine="241" w:firstLineChars="100"/>
        <w:jc w:val="center"/>
        <w:rPr>
          <w:rFonts w:cs="Times New Roman"/>
          <w:b/>
          <w:bCs/>
          <w:color w:val="FF0000"/>
          <w:sz w:val="24"/>
          <w:szCs w:val="24"/>
          <w:highlight w:val="none"/>
        </w:rPr>
      </w:pPr>
      <w:r>
        <w:rPr>
          <w:rFonts w:hint="eastAsia" w:cs="Times New Roman"/>
          <w:b/>
          <w:bCs/>
          <w:color w:val="auto"/>
          <w:sz w:val="24"/>
          <w:szCs w:val="24"/>
          <w:highlight w:val="none"/>
        </w:rPr>
        <w:t>表3</w:t>
      </w:r>
      <w:r>
        <w:rPr>
          <w:rFonts w:hint="eastAsia" w:cs="Times New Roman"/>
          <w:b/>
          <w:bCs/>
          <w:color w:val="FF0000"/>
          <w:sz w:val="24"/>
          <w:szCs w:val="24"/>
          <w:highlight w:val="none"/>
        </w:rPr>
        <w:t xml:space="preserve">  </w:t>
      </w:r>
      <w:r>
        <w:rPr>
          <w:rFonts w:hint="eastAsia" w:cs="Times New Roman"/>
          <w:b/>
          <w:bCs/>
          <w:color w:val="auto"/>
          <w:sz w:val="24"/>
          <w:szCs w:val="24"/>
          <w:highlight w:val="none"/>
        </w:rPr>
        <w:t>获得表彰或奖励分值表（单位：分）</w:t>
      </w:r>
    </w:p>
    <w:tbl>
      <w:tblPr>
        <w:tblStyle w:val="7"/>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3"/>
        <w:gridCol w:w="2522"/>
        <w:gridCol w:w="4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6" w:type="pc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等级</w:t>
            </w:r>
          </w:p>
        </w:tc>
        <w:tc>
          <w:tcPr>
            <w:tcW w:w="1365" w:type="pc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分值</w:t>
            </w:r>
          </w:p>
        </w:tc>
        <w:tc>
          <w:tcPr>
            <w:tcW w:w="2268" w:type="pct"/>
            <w:tcBorders>
              <w:top w:val="single" w:color="auto" w:sz="4" w:space="0"/>
              <w:left w:val="single" w:color="auto" w:sz="4" w:space="0"/>
              <w:bottom w:val="single" w:color="auto" w:sz="4" w:space="0"/>
              <w:right w:val="single" w:color="auto" w:sz="4" w:space="0"/>
            </w:tcBorders>
          </w:tcPr>
          <w:p>
            <w:pPr>
              <w:widowControl w:val="0"/>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1" w:hRule="atLeast"/>
          <w:jc w:val="center"/>
        </w:trPr>
        <w:tc>
          <w:tcPr>
            <w:tcW w:w="1366" w:type="pc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国家级表彰或奖励</w:t>
            </w:r>
          </w:p>
        </w:tc>
        <w:tc>
          <w:tcPr>
            <w:tcW w:w="1365" w:type="pc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40</w:t>
            </w:r>
          </w:p>
        </w:tc>
        <w:tc>
          <w:tcPr>
            <w:tcW w:w="2268" w:type="pct"/>
            <w:vMerge w:val="restar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前项表彰或奖励级别以公章认定；若无公章，按照表彰或奖励的举办单位级别、表彰或奖励事件的社会影响力认定。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1366" w:type="pc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省部级表彰或奖励</w:t>
            </w:r>
          </w:p>
        </w:tc>
        <w:tc>
          <w:tcPr>
            <w:tcW w:w="1365" w:type="pc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30</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1366" w:type="pc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校级表彰或奖励</w:t>
            </w:r>
          </w:p>
        </w:tc>
        <w:tc>
          <w:tcPr>
            <w:tcW w:w="1365" w:type="pc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10</w:t>
            </w:r>
          </w:p>
        </w:tc>
        <w:tc>
          <w:tcPr>
            <w:tcW w:w="0" w:type="auto"/>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366" w:type="pc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院级表彰或奖励</w:t>
            </w:r>
          </w:p>
        </w:tc>
        <w:tc>
          <w:tcPr>
            <w:tcW w:w="1365" w:type="pc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5</w:t>
            </w:r>
          </w:p>
        </w:tc>
        <w:tc>
          <w:tcPr>
            <w:tcW w:w="0" w:type="auto"/>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bl>
    <w:p>
      <w:pPr>
        <w:pStyle w:val="2"/>
        <w:spacing w:before="545" w:line="264" w:lineRule="auto"/>
        <w:ind w:left="295" w:right="465" w:hanging="11"/>
        <w:rPr>
          <w:b/>
          <w:bCs/>
          <w:highlight w:val="none"/>
        </w:rPr>
      </w:pPr>
      <w:r>
        <w:rPr>
          <w:b/>
          <w:bCs/>
          <w:highlight w:val="none"/>
        </w:rPr>
        <w:t>第五章 智育评价</w:t>
      </w:r>
    </w:p>
    <w:p>
      <w:pPr>
        <w:ind w:left="-15" w:right="0"/>
        <w:rPr>
          <w:highlight w:val="none"/>
        </w:rPr>
      </w:pPr>
      <w:r>
        <w:rPr>
          <w:highlight w:val="none"/>
        </w:rPr>
        <w:t>第二十条 智育评价以严格研究生学业要求、培养研究生国际视野、激发研究生科研创新能力、引导研究生树立良好学风为目的，着重对研究生学业成绩、国（境）外研修学习或国际组织实习经历、学业相关的科研与实践成果等方面进行评价，并将其作为研究生科研创新能力评价的重要内容。</w:t>
      </w:r>
    </w:p>
    <w:p>
      <w:pPr>
        <w:ind w:left="-15" w:right="0"/>
        <w:rPr>
          <w:highlight w:val="none"/>
        </w:rPr>
      </w:pPr>
      <w:r>
        <w:rPr>
          <w:highlight w:val="none"/>
        </w:rPr>
        <w:t>第二十一条 智育基本素质评价内容主要根据《中南财经政法大学硕士研究生培养管理办法》的基本要求开展评价。在评价周期</w:t>
      </w:r>
      <w:r>
        <w:rPr>
          <w:rFonts w:hint="eastAsia"/>
          <w:highlight w:val="none"/>
        </w:rPr>
        <w:t>内，研究生</w:t>
      </w:r>
      <w:r>
        <w:rPr>
          <w:highlight w:val="none"/>
        </w:rPr>
        <w:t>已修学分不低于应修学分的50%且课程（</w:t>
      </w:r>
      <w:r>
        <w:rPr>
          <w:rFonts w:hint="eastAsia"/>
          <w:highlight w:val="none"/>
        </w:rPr>
        <w:t>选修课成绩不计入参评</w:t>
      </w:r>
      <w:r>
        <w:rPr>
          <w:highlight w:val="none"/>
        </w:rPr>
        <w:t>）成绩无不及格情况，智育基本素质可评定为“合格”等级。</w:t>
      </w:r>
    </w:p>
    <w:p>
      <w:pPr>
        <w:ind w:left="-15" w:right="0"/>
        <w:rPr>
          <w:highlight w:val="none"/>
        </w:rPr>
      </w:pPr>
      <w:r>
        <w:rPr>
          <w:highlight w:val="none"/>
        </w:rPr>
        <w:t>第二十二条 智育个性能力评价内容为学习成绩、学业相关的科研与实践成果等情况。</w:t>
      </w:r>
      <w:r>
        <w:rPr>
          <w:rFonts w:hint="eastAsia"/>
          <w:highlight w:val="none"/>
        </w:rPr>
        <w:t>智育个性能力评价内容为研究生科研、与专业相关的实践成果，包含但不限于学术论文、专著译著、课题研究、学术会议、学科竞赛、与专业相关的社会实践项目、与专业相关的创新创业项目等展示我校研究生创新精神和实践能力的成果。</w:t>
      </w:r>
    </w:p>
    <w:p>
      <w:pPr>
        <w:ind w:left="-15" w:right="0"/>
        <w:rPr>
          <w:highlight w:val="none"/>
        </w:rPr>
      </w:pPr>
      <w:r>
        <w:rPr>
          <w:highlight w:val="none"/>
        </w:rPr>
        <w:t>第二十三条 科研与实践成果评价坚持以奖励高水平成果为主的评价导向，重点考察成果本身的价值，即创新性、前瞻性、影响力等。评价指标以</w:t>
      </w:r>
      <w:r>
        <w:rPr>
          <w:rFonts w:hint="eastAsia"/>
          <w:highlight w:val="none"/>
        </w:rPr>
        <w:t>代表作（不超过</w:t>
      </w:r>
      <w:r>
        <w:rPr>
          <w:highlight w:val="none"/>
        </w:rPr>
        <w:t>2篇）评价制度和以奖励高水平科研与社会实践成果为主导，注重论著质量，淡化数量要求</w:t>
      </w:r>
      <w:r>
        <w:rPr>
          <w:rFonts w:hint="eastAsia"/>
          <w:highlight w:val="none"/>
        </w:rPr>
        <w:t>。</w:t>
      </w:r>
    </w:p>
    <w:p>
      <w:pPr>
        <w:widowControl w:val="0"/>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 xml:space="preserve">表4 </w:t>
      </w:r>
      <w:r>
        <w:rPr>
          <w:rFonts w:hint="eastAsia" w:cs="Times New Roman"/>
          <w:b/>
          <w:bCs/>
          <w:color w:val="auto"/>
          <w:sz w:val="24"/>
          <w:szCs w:val="24"/>
          <w:highlight w:val="none"/>
          <w:lang w:val="en-US" w:eastAsia="zh-CN"/>
        </w:rPr>
        <w:t xml:space="preserve"> </w:t>
      </w:r>
      <w:r>
        <w:rPr>
          <w:rFonts w:hint="eastAsia" w:cs="Times New Roman"/>
          <w:b/>
          <w:bCs/>
          <w:color w:val="auto"/>
          <w:sz w:val="24"/>
          <w:szCs w:val="24"/>
          <w:highlight w:val="none"/>
        </w:rPr>
        <w:t>科研与实践奖励分值表（单位：分）</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567"/>
        <w:gridCol w:w="2389"/>
        <w:gridCol w:w="448"/>
        <w:gridCol w:w="684"/>
        <w:gridCol w:w="603"/>
        <w:gridCol w:w="660"/>
        <w:gridCol w:w="678"/>
        <w:gridCol w:w="713"/>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631" w:type="dxa"/>
            <w:gridSpan w:val="3"/>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sz w:val="21"/>
                <w:szCs w:val="21"/>
                <w:highlight w:val="none"/>
              </w:rPr>
            </w:pPr>
            <w:r>
              <w:rPr>
                <w:rFonts w:hint="eastAsia" w:cs="Times New Roman"/>
                <w:b/>
                <w:bCs/>
                <w:color w:val="auto"/>
                <w:sz w:val="21"/>
                <w:szCs w:val="21"/>
                <w:highlight w:val="none"/>
              </w:rPr>
              <w:t>认定标准</w:t>
            </w:r>
          </w:p>
        </w:tc>
        <w:tc>
          <w:tcPr>
            <w:tcW w:w="3786" w:type="dxa"/>
            <w:gridSpan w:val="6"/>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sz w:val="21"/>
                <w:szCs w:val="21"/>
                <w:highlight w:val="none"/>
              </w:rPr>
            </w:pPr>
            <w:r>
              <w:rPr>
                <w:rFonts w:hint="eastAsia" w:cs="Times New Roman"/>
                <w:b/>
                <w:bCs/>
                <w:color w:val="auto"/>
                <w:sz w:val="21"/>
                <w:szCs w:val="21"/>
                <w:highlight w:val="none"/>
              </w:rPr>
              <w:t>代表性成果计分分值</w:t>
            </w:r>
          </w:p>
        </w:tc>
        <w:tc>
          <w:tcPr>
            <w:tcW w:w="1512"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sz w:val="21"/>
                <w:szCs w:val="21"/>
                <w:highlight w:val="none"/>
              </w:rPr>
            </w:pPr>
            <w:r>
              <w:rPr>
                <w:rFonts w:hint="eastAsia" w:cs="Times New Roman"/>
                <w:b/>
                <w:bCs/>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31" w:type="dxa"/>
            <w:gridSpan w:val="3"/>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在学校期刊目录认定的A-级及以上期刊上发表论文</w:t>
            </w:r>
          </w:p>
        </w:tc>
        <w:tc>
          <w:tcPr>
            <w:tcW w:w="3786" w:type="dxa"/>
            <w:gridSpan w:val="6"/>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80</w:t>
            </w:r>
          </w:p>
        </w:tc>
        <w:tc>
          <w:tcPr>
            <w:tcW w:w="1512" w:type="dxa"/>
            <w:vMerge w:val="restart"/>
            <w:tcBorders>
              <w:top w:val="nil"/>
              <w:left w:val="single" w:color="auto" w:sz="4" w:space="0"/>
              <w:bottom w:val="single" w:color="auto" w:sz="4" w:space="0"/>
              <w:right w:val="single" w:color="auto" w:sz="4" w:space="0"/>
            </w:tcBorders>
            <w:vAlign w:val="center"/>
          </w:tcPr>
          <w:p>
            <w:pPr>
              <w:widowControl w:val="0"/>
              <w:numPr>
                <w:ilvl w:val="0"/>
                <w:numId w:val="1"/>
              </w:numPr>
              <w:autoSpaceDE w:val="0"/>
              <w:spacing w:after="0" w:line="360" w:lineRule="auto"/>
              <w:ind w:right="0"/>
              <w:jc w:val="center"/>
              <w:rPr>
                <w:rFonts w:cs="Times New Roman"/>
                <w:color w:val="auto"/>
                <w:sz w:val="21"/>
                <w:szCs w:val="21"/>
                <w:highlight w:val="none"/>
              </w:rPr>
            </w:pPr>
            <w:r>
              <w:rPr>
                <w:rFonts w:hint="eastAsia" w:cs="Times New Roman"/>
                <w:color w:val="auto"/>
                <w:sz w:val="21"/>
                <w:szCs w:val="21"/>
                <w:highlight w:val="none"/>
              </w:rPr>
              <w:t>本人导师或所在导师组老师可不计入排序。本人为二作的，按照分值60%计，三作按分值30%计。</w:t>
            </w:r>
          </w:p>
          <w:p>
            <w:pPr>
              <w:widowControl w:val="0"/>
              <w:numPr>
                <w:ilvl w:val="0"/>
                <w:numId w:val="1"/>
              </w:numPr>
              <w:autoSpaceDE w:val="0"/>
              <w:spacing w:after="0" w:line="360" w:lineRule="auto"/>
              <w:ind w:right="0"/>
              <w:jc w:val="center"/>
              <w:rPr>
                <w:rFonts w:cs="Times New Roman"/>
                <w:color w:val="auto"/>
                <w:sz w:val="21"/>
                <w:szCs w:val="21"/>
                <w:highlight w:val="none"/>
              </w:rPr>
            </w:pPr>
            <w:r>
              <w:rPr>
                <w:rFonts w:hint="eastAsia" w:cs="Times New Roman"/>
                <w:color w:val="auto"/>
                <w:sz w:val="21"/>
                <w:szCs w:val="21"/>
                <w:highlight w:val="none"/>
              </w:rPr>
              <w:t>专著等级由法硕中心认定。</w:t>
            </w:r>
          </w:p>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3、普刊中的半月刊、旬刊、增刊、专刊等不予认定，且单篇全文不得少于5000字。</w:t>
            </w:r>
          </w:p>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4、其他认定标准中没有的高水平成果，由法硕中心研究生奖学金评定工作小组认定。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31" w:type="dxa"/>
            <w:gridSpan w:val="3"/>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在学校期刊目录认定的B-级及以上期刊上发表论文、获评全国百优案例</w:t>
            </w:r>
          </w:p>
        </w:tc>
        <w:tc>
          <w:tcPr>
            <w:tcW w:w="3786" w:type="dxa"/>
            <w:gridSpan w:val="6"/>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40</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31" w:type="dxa"/>
            <w:gridSpan w:val="3"/>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在CSSCI期刊上发表论文</w:t>
            </w:r>
          </w:p>
        </w:tc>
        <w:tc>
          <w:tcPr>
            <w:tcW w:w="3786" w:type="dxa"/>
            <w:gridSpan w:val="6"/>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10</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31" w:type="dxa"/>
            <w:gridSpan w:val="3"/>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bCs/>
                <w:color w:val="auto"/>
                <w:sz w:val="21"/>
                <w:szCs w:val="21"/>
                <w:highlight w:val="none"/>
              </w:rPr>
              <w:t>在普刊上发表论文、报告等</w:t>
            </w:r>
          </w:p>
        </w:tc>
        <w:tc>
          <w:tcPr>
            <w:tcW w:w="3786" w:type="dxa"/>
            <w:gridSpan w:val="6"/>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2（独撰2分，合著加分参考学校科研成果积分计算办法）</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631" w:type="dxa"/>
            <w:gridSpan w:val="3"/>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出版专（译）著</w:t>
            </w:r>
          </w:p>
        </w:tc>
        <w:tc>
          <w:tcPr>
            <w:tcW w:w="3786" w:type="dxa"/>
            <w:gridSpan w:val="6"/>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10-40</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75"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其他代表性成果</w:t>
            </w:r>
          </w:p>
        </w:tc>
        <w:tc>
          <w:tcPr>
            <w:tcW w:w="567"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p>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课题</w:t>
            </w:r>
          </w:p>
        </w:tc>
        <w:tc>
          <w:tcPr>
            <w:tcW w:w="2389"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级别</w:t>
            </w:r>
          </w:p>
        </w:tc>
        <w:tc>
          <w:tcPr>
            <w:tcW w:w="448" w:type="dxa"/>
            <w:vMerge w:val="restar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主持</w:t>
            </w:r>
          </w:p>
        </w:tc>
        <w:tc>
          <w:tcPr>
            <w:tcW w:w="3338" w:type="dxa"/>
            <w:gridSpan w:val="5"/>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参与</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675"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567"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2389"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448"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68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一</w:t>
            </w:r>
          </w:p>
        </w:tc>
        <w:tc>
          <w:tcPr>
            <w:tcW w:w="603"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二</w:t>
            </w:r>
          </w:p>
        </w:tc>
        <w:tc>
          <w:tcPr>
            <w:tcW w:w="660"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三</w:t>
            </w:r>
          </w:p>
        </w:tc>
        <w:tc>
          <w:tcPr>
            <w:tcW w:w="1391" w:type="dxa"/>
            <w:gridSpan w:val="2"/>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四及以后</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trPr>
        <w:tc>
          <w:tcPr>
            <w:tcW w:w="675"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567"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2389"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国家级、教育部重大</w:t>
            </w:r>
          </w:p>
        </w:tc>
        <w:tc>
          <w:tcPr>
            <w:tcW w:w="448"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w:t>
            </w:r>
          </w:p>
        </w:tc>
        <w:tc>
          <w:tcPr>
            <w:tcW w:w="68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5</w:t>
            </w:r>
          </w:p>
        </w:tc>
        <w:tc>
          <w:tcPr>
            <w:tcW w:w="603"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4</w:t>
            </w:r>
          </w:p>
        </w:tc>
        <w:tc>
          <w:tcPr>
            <w:tcW w:w="660"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3</w:t>
            </w:r>
          </w:p>
        </w:tc>
        <w:tc>
          <w:tcPr>
            <w:tcW w:w="1391" w:type="dxa"/>
            <w:gridSpan w:val="2"/>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2</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trPr>
        <w:tc>
          <w:tcPr>
            <w:tcW w:w="675"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567"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2389"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国家级、教育部课题</w:t>
            </w:r>
          </w:p>
        </w:tc>
        <w:tc>
          <w:tcPr>
            <w:tcW w:w="448"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w:t>
            </w:r>
          </w:p>
        </w:tc>
        <w:tc>
          <w:tcPr>
            <w:tcW w:w="68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4</w:t>
            </w:r>
          </w:p>
        </w:tc>
        <w:tc>
          <w:tcPr>
            <w:tcW w:w="603"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3</w:t>
            </w:r>
          </w:p>
        </w:tc>
        <w:tc>
          <w:tcPr>
            <w:tcW w:w="660"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2</w:t>
            </w:r>
          </w:p>
        </w:tc>
        <w:tc>
          <w:tcPr>
            <w:tcW w:w="1391" w:type="dxa"/>
            <w:gridSpan w:val="2"/>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1</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trPr>
        <w:tc>
          <w:tcPr>
            <w:tcW w:w="675"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567"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2389"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省部级</w:t>
            </w:r>
          </w:p>
        </w:tc>
        <w:tc>
          <w:tcPr>
            <w:tcW w:w="448"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4</w:t>
            </w:r>
          </w:p>
        </w:tc>
        <w:tc>
          <w:tcPr>
            <w:tcW w:w="68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3</w:t>
            </w:r>
          </w:p>
        </w:tc>
        <w:tc>
          <w:tcPr>
            <w:tcW w:w="603"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2</w:t>
            </w:r>
          </w:p>
        </w:tc>
        <w:tc>
          <w:tcPr>
            <w:tcW w:w="660"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1</w:t>
            </w:r>
          </w:p>
        </w:tc>
        <w:tc>
          <w:tcPr>
            <w:tcW w:w="1391" w:type="dxa"/>
            <w:gridSpan w:val="2"/>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1</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trPr>
        <w:tc>
          <w:tcPr>
            <w:tcW w:w="675"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567"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2389"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市、厅、局、校级</w:t>
            </w:r>
          </w:p>
        </w:tc>
        <w:tc>
          <w:tcPr>
            <w:tcW w:w="448"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2</w:t>
            </w:r>
          </w:p>
        </w:tc>
        <w:tc>
          <w:tcPr>
            <w:tcW w:w="68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0.5</w:t>
            </w:r>
          </w:p>
        </w:tc>
        <w:tc>
          <w:tcPr>
            <w:tcW w:w="603" w:type="dxa"/>
            <w:tcBorders>
              <w:top w:val="single" w:color="auto" w:sz="4" w:space="0"/>
              <w:left w:val="single" w:color="auto" w:sz="4" w:space="0"/>
              <w:bottom w:val="nil"/>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0.5</w:t>
            </w:r>
          </w:p>
        </w:tc>
        <w:tc>
          <w:tcPr>
            <w:tcW w:w="660"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0.5</w:t>
            </w:r>
          </w:p>
        </w:tc>
        <w:tc>
          <w:tcPr>
            <w:tcW w:w="1391" w:type="dxa"/>
            <w:gridSpan w:val="2"/>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0.5</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75"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567"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学术会议</w:t>
            </w:r>
          </w:p>
        </w:tc>
        <w:tc>
          <w:tcPr>
            <w:tcW w:w="2389"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会议级别</w:t>
            </w:r>
          </w:p>
        </w:tc>
        <w:tc>
          <w:tcPr>
            <w:tcW w:w="1735" w:type="dxa"/>
            <w:gridSpan w:val="3"/>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参会并报告论文</w:t>
            </w:r>
          </w:p>
        </w:tc>
        <w:tc>
          <w:tcPr>
            <w:tcW w:w="2051" w:type="dxa"/>
            <w:gridSpan w:val="3"/>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参会且论文收录于会议论文集</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trPr>
        <w:tc>
          <w:tcPr>
            <w:tcW w:w="675"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567"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2389"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448"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独撰</w:t>
            </w:r>
          </w:p>
        </w:tc>
        <w:tc>
          <w:tcPr>
            <w:tcW w:w="68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一</w:t>
            </w:r>
          </w:p>
        </w:tc>
        <w:tc>
          <w:tcPr>
            <w:tcW w:w="603"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二</w:t>
            </w:r>
          </w:p>
        </w:tc>
        <w:tc>
          <w:tcPr>
            <w:tcW w:w="660"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独撰</w:t>
            </w:r>
          </w:p>
        </w:tc>
        <w:tc>
          <w:tcPr>
            <w:tcW w:w="678"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一</w:t>
            </w:r>
          </w:p>
        </w:tc>
        <w:tc>
          <w:tcPr>
            <w:tcW w:w="713"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二</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75"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567"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2389"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全国性专业学术会议</w:t>
            </w:r>
          </w:p>
        </w:tc>
        <w:tc>
          <w:tcPr>
            <w:tcW w:w="448"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3</w:t>
            </w:r>
          </w:p>
        </w:tc>
        <w:tc>
          <w:tcPr>
            <w:tcW w:w="68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2</w:t>
            </w:r>
          </w:p>
        </w:tc>
        <w:tc>
          <w:tcPr>
            <w:tcW w:w="603"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1</w:t>
            </w:r>
          </w:p>
        </w:tc>
        <w:tc>
          <w:tcPr>
            <w:tcW w:w="660"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2</w:t>
            </w:r>
          </w:p>
        </w:tc>
        <w:tc>
          <w:tcPr>
            <w:tcW w:w="678"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1.5</w:t>
            </w:r>
          </w:p>
        </w:tc>
        <w:tc>
          <w:tcPr>
            <w:tcW w:w="713"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0.5</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trPr>
        <w:tc>
          <w:tcPr>
            <w:tcW w:w="675"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567"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1"/>
                <w:szCs w:val="21"/>
                <w:highlight w:val="none"/>
              </w:rPr>
            </w:pPr>
          </w:p>
        </w:tc>
        <w:tc>
          <w:tcPr>
            <w:tcW w:w="2389"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省级专业学术会议、</w:t>
            </w:r>
          </w:p>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全国性研究生论坛</w:t>
            </w:r>
          </w:p>
        </w:tc>
        <w:tc>
          <w:tcPr>
            <w:tcW w:w="448"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2</w:t>
            </w:r>
          </w:p>
        </w:tc>
        <w:tc>
          <w:tcPr>
            <w:tcW w:w="68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1.5</w:t>
            </w:r>
          </w:p>
        </w:tc>
        <w:tc>
          <w:tcPr>
            <w:tcW w:w="603"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0.5</w:t>
            </w:r>
          </w:p>
        </w:tc>
        <w:tc>
          <w:tcPr>
            <w:tcW w:w="660"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1</w:t>
            </w:r>
          </w:p>
        </w:tc>
        <w:tc>
          <w:tcPr>
            <w:tcW w:w="678"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0.6</w:t>
            </w:r>
          </w:p>
        </w:tc>
        <w:tc>
          <w:tcPr>
            <w:tcW w:w="713"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1"/>
                <w:szCs w:val="21"/>
                <w:highlight w:val="none"/>
              </w:rPr>
            </w:pPr>
            <w:r>
              <w:rPr>
                <w:rFonts w:hint="eastAsia" w:cs="Times New Roman"/>
                <w:color w:val="auto"/>
                <w:sz w:val="21"/>
                <w:szCs w:val="21"/>
                <w:highlight w:val="none"/>
              </w:rPr>
              <w:t>0.4</w:t>
            </w:r>
          </w:p>
        </w:tc>
        <w:tc>
          <w:tcPr>
            <w:tcW w:w="15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color w:val="auto"/>
                <w:sz w:val="21"/>
                <w:szCs w:val="21"/>
                <w:highlight w:val="none"/>
              </w:rPr>
            </w:pPr>
          </w:p>
        </w:tc>
      </w:tr>
    </w:tbl>
    <w:p>
      <w:pPr>
        <w:autoSpaceDE w:val="0"/>
        <w:spacing w:after="0" w:line="360" w:lineRule="auto"/>
        <w:ind w:left="365" w:leftChars="114" w:right="0" w:firstLine="482" w:firstLineChars="200"/>
        <w:jc w:val="center"/>
        <w:rPr>
          <w:rFonts w:ascii="宋体" w:hAnsi="宋体" w:eastAsia="宋体" w:cs="Times New Roman"/>
          <w:b/>
          <w:bCs/>
          <w:color w:val="auto"/>
          <w:sz w:val="24"/>
          <w:szCs w:val="24"/>
          <w:highlight w:val="none"/>
        </w:rPr>
      </w:pPr>
    </w:p>
    <w:p>
      <w:pPr>
        <w:autoSpaceDE w:val="0"/>
        <w:spacing w:after="0" w:line="360" w:lineRule="auto"/>
        <w:ind w:left="365" w:leftChars="114" w:right="0" w:firstLine="482" w:firstLineChars="200"/>
        <w:jc w:val="center"/>
        <w:rPr>
          <w:rFonts w:cs="Times New Roman"/>
          <w:b/>
          <w:bCs/>
          <w:color w:val="auto"/>
          <w:sz w:val="24"/>
          <w:szCs w:val="24"/>
          <w:highlight w:val="none"/>
        </w:rPr>
      </w:pPr>
      <w:r>
        <w:rPr>
          <w:rFonts w:hint="eastAsia" w:cs="Times New Roman"/>
          <w:b/>
          <w:bCs/>
          <w:color w:val="auto"/>
          <w:sz w:val="24"/>
          <w:szCs w:val="24"/>
          <w:highlight w:val="none"/>
        </w:rPr>
        <w:t xml:space="preserve">表5 </w:t>
      </w:r>
      <w:r>
        <w:rPr>
          <w:rFonts w:hint="eastAsia" w:cs="Times New Roman"/>
          <w:b/>
          <w:bCs/>
          <w:color w:val="auto"/>
          <w:sz w:val="24"/>
          <w:szCs w:val="24"/>
          <w:highlight w:val="none"/>
          <w:lang w:val="en-US" w:eastAsia="zh-CN"/>
        </w:rPr>
        <w:t xml:space="preserve"> </w:t>
      </w:r>
      <w:r>
        <w:rPr>
          <w:rFonts w:hint="eastAsia" w:cs="Times New Roman"/>
          <w:b/>
          <w:bCs/>
          <w:color w:val="auto"/>
          <w:sz w:val="24"/>
          <w:szCs w:val="24"/>
          <w:highlight w:val="none"/>
        </w:rPr>
        <w:t>学科竞赛分值表（单位：分）</w:t>
      </w:r>
    </w:p>
    <w:tbl>
      <w:tblPr>
        <w:tblStyle w:val="7"/>
        <w:tblW w:w="9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76"/>
        <w:gridCol w:w="2652"/>
        <w:gridCol w:w="3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获奖等级</w:t>
            </w:r>
          </w:p>
        </w:tc>
        <w:tc>
          <w:tcPr>
            <w:tcW w:w="2652" w:type="dxa"/>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个人独立参赛</w:t>
            </w:r>
          </w:p>
        </w:tc>
        <w:tc>
          <w:tcPr>
            <w:tcW w:w="3416" w:type="dxa"/>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团队参赛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327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全国赛区特等奖</w:t>
            </w:r>
          </w:p>
        </w:tc>
        <w:tc>
          <w:tcPr>
            <w:tcW w:w="2652" w:type="dxa"/>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80</w:t>
            </w:r>
          </w:p>
        </w:tc>
        <w:tc>
          <w:tcPr>
            <w:tcW w:w="3416" w:type="dxa"/>
            <w:vMerge w:val="restart"/>
            <w:tcBorders>
              <w:top w:val="nil"/>
              <w:left w:val="nil"/>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团队参赛每人得分同个人一致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全国赛区一等奖</w:t>
            </w:r>
          </w:p>
        </w:tc>
        <w:tc>
          <w:tcPr>
            <w:tcW w:w="2652" w:type="dxa"/>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50</w:t>
            </w:r>
          </w:p>
        </w:tc>
        <w:tc>
          <w:tcPr>
            <w:tcW w:w="3416" w:type="dxa"/>
            <w:vMerge w:val="continue"/>
            <w:tcBorders>
              <w:top w:val="nil"/>
              <w:left w:val="nil"/>
              <w:bottom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全国赛区二等奖</w:t>
            </w:r>
          </w:p>
        </w:tc>
        <w:tc>
          <w:tcPr>
            <w:tcW w:w="2652" w:type="dxa"/>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40</w:t>
            </w:r>
          </w:p>
        </w:tc>
        <w:tc>
          <w:tcPr>
            <w:tcW w:w="3416" w:type="dxa"/>
            <w:vMerge w:val="continue"/>
            <w:tcBorders>
              <w:top w:val="nil"/>
              <w:left w:val="nil"/>
              <w:bottom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全国赛区三等奖</w:t>
            </w:r>
          </w:p>
        </w:tc>
        <w:tc>
          <w:tcPr>
            <w:tcW w:w="2652" w:type="dxa"/>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30</w:t>
            </w:r>
          </w:p>
        </w:tc>
        <w:tc>
          <w:tcPr>
            <w:tcW w:w="3416" w:type="dxa"/>
            <w:vMerge w:val="continue"/>
            <w:tcBorders>
              <w:top w:val="nil"/>
              <w:left w:val="nil"/>
              <w:bottom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全国赛区优秀奖</w:t>
            </w:r>
          </w:p>
        </w:tc>
        <w:tc>
          <w:tcPr>
            <w:tcW w:w="2652" w:type="dxa"/>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25</w:t>
            </w:r>
          </w:p>
        </w:tc>
        <w:tc>
          <w:tcPr>
            <w:tcW w:w="3416" w:type="dxa"/>
            <w:vMerge w:val="continue"/>
            <w:tcBorders>
              <w:top w:val="nil"/>
              <w:left w:val="nil"/>
              <w:bottom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省级赛区一等奖</w:t>
            </w:r>
          </w:p>
        </w:tc>
        <w:tc>
          <w:tcPr>
            <w:tcW w:w="2652" w:type="dxa"/>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20</w:t>
            </w:r>
          </w:p>
        </w:tc>
        <w:tc>
          <w:tcPr>
            <w:tcW w:w="3416" w:type="dxa"/>
            <w:vMerge w:val="continue"/>
            <w:tcBorders>
              <w:top w:val="nil"/>
              <w:left w:val="nil"/>
              <w:bottom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省级赛区二等奖</w:t>
            </w:r>
          </w:p>
        </w:tc>
        <w:tc>
          <w:tcPr>
            <w:tcW w:w="2652" w:type="dxa"/>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16</w:t>
            </w:r>
          </w:p>
        </w:tc>
        <w:tc>
          <w:tcPr>
            <w:tcW w:w="3416" w:type="dxa"/>
            <w:vMerge w:val="continue"/>
            <w:tcBorders>
              <w:top w:val="nil"/>
              <w:left w:val="nil"/>
              <w:bottom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省级赛区三等奖</w:t>
            </w:r>
          </w:p>
        </w:tc>
        <w:tc>
          <w:tcPr>
            <w:tcW w:w="2652" w:type="dxa"/>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12</w:t>
            </w:r>
          </w:p>
        </w:tc>
        <w:tc>
          <w:tcPr>
            <w:tcW w:w="3416" w:type="dxa"/>
            <w:vMerge w:val="continue"/>
            <w:tcBorders>
              <w:top w:val="nil"/>
              <w:left w:val="nil"/>
              <w:bottom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76" w:type="dxa"/>
            <w:tcBorders>
              <w:top w:val="single" w:color="auto" w:sz="4" w:space="0"/>
              <w:left w:val="single" w:color="auto" w:sz="4" w:space="0"/>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省级赛区优秀奖</w:t>
            </w:r>
          </w:p>
        </w:tc>
        <w:tc>
          <w:tcPr>
            <w:tcW w:w="2652" w:type="dxa"/>
            <w:tcBorders>
              <w:top w:val="single" w:color="auto" w:sz="4" w:space="0"/>
              <w:left w:val="nil"/>
              <w:bottom w:val="single" w:color="auto" w:sz="4" w:space="0"/>
              <w:right w:val="single" w:color="auto" w:sz="4" w:space="0"/>
            </w:tcBorders>
            <w:vAlign w:val="center"/>
          </w:tcPr>
          <w:p>
            <w:pPr>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10</w:t>
            </w:r>
          </w:p>
        </w:tc>
        <w:tc>
          <w:tcPr>
            <w:tcW w:w="3416" w:type="dxa"/>
            <w:vMerge w:val="continue"/>
            <w:tcBorders>
              <w:top w:val="nil"/>
              <w:left w:val="nil"/>
              <w:bottom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r>
    </w:tbl>
    <w:p>
      <w:pPr>
        <w:widowControl w:val="0"/>
        <w:autoSpaceDE w:val="0"/>
        <w:spacing w:after="0" w:line="360" w:lineRule="auto"/>
        <w:ind w:left="360" w:right="0" w:firstLine="482" w:firstLineChars="200"/>
        <w:jc w:val="center"/>
        <w:rPr>
          <w:rFonts w:cs="Times New Roman"/>
          <w:b/>
          <w:bCs/>
          <w:sz w:val="24"/>
          <w:szCs w:val="24"/>
          <w:highlight w:val="none"/>
        </w:rPr>
      </w:pPr>
    </w:p>
    <w:p>
      <w:pPr>
        <w:widowControl w:val="0"/>
        <w:autoSpaceDE w:val="0"/>
        <w:spacing w:after="0" w:line="360" w:lineRule="auto"/>
        <w:ind w:left="360" w:right="0" w:firstLine="482" w:firstLineChars="200"/>
        <w:jc w:val="center"/>
        <w:rPr>
          <w:rFonts w:cs="Times New Roman"/>
          <w:b/>
          <w:bCs/>
          <w:sz w:val="24"/>
          <w:szCs w:val="24"/>
          <w:highlight w:val="none"/>
        </w:rPr>
      </w:pPr>
      <w:r>
        <w:rPr>
          <w:rFonts w:hint="eastAsia" w:cs="Times New Roman"/>
          <w:b/>
          <w:bCs/>
          <w:sz w:val="24"/>
          <w:szCs w:val="24"/>
          <w:highlight w:val="none"/>
        </w:rPr>
        <w:t xml:space="preserve">表6 </w:t>
      </w:r>
      <w:r>
        <w:rPr>
          <w:rFonts w:hint="eastAsia" w:cs="Times New Roman"/>
          <w:b/>
          <w:bCs/>
          <w:sz w:val="24"/>
          <w:szCs w:val="24"/>
          <w:highlight w:val="none"/>
          <w:lang w:val="en-US" w:eastAsia="zh-CN"/>
        </w:rPr>
        <w:t xml:space="preserve"> </w:t>
      </w:r>
      <w:r>
        <w:rPr>
          <w:rFonts w:hint="eastAsia" w:cs="Times New Roman"/>
          <w:b/>
          <w:bCs/>
          <w:sz w:val="24"/>
          <w:szCs w:val="24"/>
          <w:highlight w:val="none"/>
        </w:rPr>
        <w:t>社会实践项目分值表</w:t>
      </w:r>
      <w:r>
        <w:rPr>
          <w:rFonts w:hint="eastAsia" w:cs="Times New Roman"/>
          <w:b/>
          <w:bCs/>
          <w:kern w:val="0"/>
          <w:sz w:val="24"/>
          <w:szCs w:val="24"/>
          <w:highlight w:val="none"/>
        </w:rPr>
        <w:t>（单位：分）</w:t>
      </w:r>
    </w:p>
    <w:tbl>
      <w:tblPr>
        <w:tblStyle w:val="7"/>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7"/>
        <w:gridCol w:w="2115"/>
        <w:gridCol w:w="4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87"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sz w:val="24"/>
                <w:szCs w:val="24"/>
                <w:highlight w:val="none"/>
              </w:rPr>
            </w:pPr>
            <w:r>
              <w:rPr>
                <w:rFonts w:hint="eastAsia" w:cs="Times New Roman"/>
                <w:b/>
                <w:bCs/>
                <w:sz w:val="24"/>
                <w:szCs w:val="24"/>
                <w:highlight w:val="none"/>
              </w:rPr>
              <w:t>授奖单位级别</w:t>
            </w:r>
          </w:p>
        </w:tc>
        <w:tc>
          <w:tcPr>
            <w:tcW w:w="2115" w:type="dxa"/>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sz w:val="24"/>
                <w:szCs w:val="24"/>
                <w:highlight w:val="none"/>
              </w:rPr>
            </w:pPr>
            <w:r>
              <w:rPr>
                <w:rFonts w:hint="eastAsia" w:cs="Times New Roman"/>
                <w:b/>
                <w:bCs/>
                <w:sz w:val="24"/>
                <w:szCs w:val="24"/>
                <w:highlight w:val="none"/>
              </w:rPr>
              <w:t>个人独立获奖</w:t>
            </w:r>
          </w:p>
        </w:tc>
        <w:tc>
          <w:tcPr>
            <w:tcW w:w="4948" w:type="dxa"/>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sz w:val="24"/>
                <w:szCs w:val="24"/>
                <w:highlight w:val="none"/>
              </w:rPr>
            </w:pPr>
            <w:r>
              <w:rPr>
                <w:rFonts w:hint="eastAsia" w:cs="Times New Roman"/>
                <w:b/>
                <w:bCs/>
                <w:sz w:val="24"/>
                <w:szCs w:val="24"/>
                <w:highlight w:val="none"/>
              </w:rPr>
              <w:t>团队获奖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87"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省部级</w:t>
            </w:r>
          </w:p>
        </w:tc>
        <w:tc>
          <w:tcPr>
            <w:tcW w:w="2115" w:type="dxa"/>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40</w:t>
            </w:r>
          </w:p>
        </w:tc>
        <w:tc>
          <w:tcPr>
            <w:tcW w:w="4948" w:type="dxa"/>
            <w:vMerge w:val="restart"/>
            <w:tcBorders>
              <w:top w:val="nil"/>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团队成员得分同个人一致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287"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厅局级</w:t>
            </w:r>
          </w:p>
        </w:tc>
        <w:tc>
          <w:tcPr>
            <w:tcW w:w="2115" w:type="dxa"/>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10</w:t>
            </w:r>
          </w:p>
        </w:tc>
        <w:tc>
          <w:tcPr>
            <w:tcW w:w="4948" w:type="dxa"/>
            <w:vMerge w:val="continue"/>
            <w:tcBorders>
              <w:top w:val="nil"/>
              <w:left w:val="nil"/>
              <w:bottom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r>
    </w:tbl>
    <w:p>
      <w:pPr>
        <w:widowControl w:val="0"/>
        <w:autoSpaceDE w:val="0"/>
        <w:spacing w:after="0" w:line="360" w:lineRule="auto"/>
        <w:ind w:left="360" w:right="0" w:firstLine="480" w:firstLineChars="200"/>
        <w:jc w:val="center"/>
        <w:rPr>
          <w:rFonts w:ascii="宋体" w:hAnsi="宋体" w:eastAsia="宋体" w:cs="Times New Roman"/>
          <w:sz w:val="24"/>
          <w:szCs w:val="24"/>
          <w:highlight w:val="none"/>
        </w:rPr>
      </w:pPr>
      <w:r>
        <w:rPr>
          <w:rFonts w:hint="eastAsia" w:ascii="宋体" w:hAnsi="宋体" w:eastAsia="宋体" w:cs="Times New Roman"/>
          <w:sz w:val="24"/>
          <w:szCs w:val="24"/>
          <w:highlight w:val="none"/>
        </w:rPr>
        <w:t xml:space="preserve"> </w:t>
      </w:r>
    </w:p>
    <w:p>
      <w:pPr>
        <w:widowControl w:val="0"/>
        <w:autoSpaceDE w:val="0"/>
        <w:spacing w:after="0" w:line="360" w:lineRule="auto"/>
        <w:ind w:left="360" w:right="0" w:firstLine="480" w:firstLineChars="200"/>
        <w:jc w:val="center"/>
        <w:rPr>
          <w:rFonts w:ascii="宋体" w:hAnsi="宋体" w:eastAsia="宋体" w:cs="Times New Roman"/>
          <w:sz w:val="24"/>
          <w:szCs w:val="24"/>
          <w:highlight w:val="none"/>
        </w:rPr>
      </w:pPr>
    </w:p>
    <w:p>
      <w:pPr>
        <w:widowControl w:val="0"/>
        <w:autoSpaceDE w:val="0"/>
        <w:spacing w:after="0" w:line="360" w:lineRule="auto"/>
        <w:ind w:left="360" w:right="0" w:firstLine="482" w:firstLineChars="200"/>
        <w:jc w:val="center"/>
        <w:rPr>
          <w:rFonts w:cs="Times New Roman"/>
          <w:b/>
          <w:bCs/>
          <w:sz w:val="24"/>
          <w:szCs w:val="24"/>
          <w:highlight w:val="none"/>
        </w:rPr>
      </w:pPr>
      <w:r>
        <w:rPr>
          <w:rFonts w:hint="eastAsia" w:cs="Times New Roman"/>
          <w:b/>
          <w:bCs/>
          <w:sz w:val="24"/>
          <w:szCs w:val="24"/>
          <w:highlight w:val="none"/>
        </w:rPr>
        <w:t xml:space="preserve">表7 </w:t>
      </w:r>
      <w:r>
        <w:rPr>
          <w:rFonts w:hint="eastAsia" w:cs="Times New Roman"/>
          <w:b/>
          <w:bCs/>
          <w:sz w:val="24"/>
          <w:szCs w:val="24"/>
          <w:highlight w:val="none"/>
          <w:lang w:val="en-US" w:eastAsia="zh-CN"/>
        </w:rPr>
        <w:t xml:space="preserve"> </w:t>
      </w:r>
      <w:r>
        <w:rPr>
          <w:rFonts w:hint="eastAsia" w:cs="Times New Roman"/>
          <w:b/>
          <w:bCs/>
          <w:sz w:val="24"/>
          <w:szCs w:val="24"/>
          <w:highlight w:val="none"/>
        </w:rPr>
        <w:t>创新创业项目分值表</w:t>
      </w:r>
      <w:r>
        <w:rPr>
          <w:rFonts w:hint="eastAsia" w:cs="Times New Roman"/>
          <w:b/>
          <w:bCs/>
          <w:kern w:val="0"/>
          <w:sz w:val="24"/>
          <w:szCs w:val="24"/>
          <w:highlight w:val="none"/>
        </w:rPr>
        <w:t>（单位：分）</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2539"/>
        <w:gridCol w:w="2249"/>
        <w:gridCol w:w="3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87" w:type="pc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项目</w:t>
            </w:r>
          </w:p>
          <w:p>
            <w:pPr>
              <w:widowControl w:val="0"/>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类型</w:t>
            </w: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获奖等级</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个人独立参赛/完成</w:t>
            </w:r>
          </w:p>
        </w:tc>
        <w:tc>
          <w:tcPr>
            <w:tcW w:w="1722"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团队参赛/完成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87" w:type="pct"/>
            <w:vMerge w:val="restart"/>
            <w:tcBorders>
              <w:top w:val="nil"/>
              <w:left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创新创业比赛</w:t>
            </w: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全国赛区一等奖</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40</w:t>
            </w:r>
          </w:p>
        </w:tc>
        <w:tc>
          <w:tcPr>
            <w:tcW w:w="1722" w:type="pct"/>
            <w:vMerge w:val="restart"/>
            <w:tcBorders>
              <w:top w:val="nil"/>
              <w:left w:val="nil"/>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团队成员得分同个人一致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0" w:type="auto"/>
            <w:vMerge w:val="continue"/>
            <w:tcBorders>
              <w:left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全国赛区二等奖</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34</w:t>
            </w:r>
          </w:p>
        </w:tc>
        <w:tc>
          <w:tcPr>
            <w:tcW w:w="0" w:type="auto"/>
            <w:vMerge w:val="continue"/>
            <w:tcBorders>
              <w:left w:val="nil"/>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0" w:type="auto"/>
            <w:vMerge w:val="continue"/>
            <w:tcBorders>
              <w:left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全国赛区三等奖</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28</w:t>
            </w:r>
          </w:p>
        </w:tc>
        <w:tc>
          <w:tcPr>
            <w:tcW w:w="0" w:type="auto"/>
            <w:vMerge w:val="continue"/>
            <w:tcBorders>
              <w:left w:val="nil"/>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0" w:type="auto"/>
            <w:vMerge w:val="continue"/>
            <w:tcBorders>
              <w:left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全国赛区优秀奖</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22</w:t>
            </w:r>
          </w:p>
        </w:tc>
        <w:tc>
          <w:tcPr>
            <w:tcW w:w="0" w:type="auto"/>
            <w:vMerge w:val="continue"/>
            <w:tcBorders>
              <w:left w:val="nil"/>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0" w:type="auto"/>
            <w:vMerge w:val="continue"/>
            <w:tcBorders>
              <w:left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省级赛区一等奖</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20</w:t>
            </w:r>
          </w:p>
        </w:tc>
        <w:tc>
          <w:tcPr>
            <w:tcW w:w="0" w:type="auto"/>
            <w:vMerge w:val="continue"/>
            <w:tcBorders>
              <w:left w:val="nil"/>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0" w:type="auto"/>
            <w:vMerge w:val="continue"/>
            <w:tcBorders>
              <w:left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省级赛区二等奖</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18</w:t>
            </w:r>
          </w:p>
        </w:tc>
        <w:tc>
          <w:tcPr>
            <w:tcW w:w="0" w:type="auto"/>
            <w:vMerge w:val="continue"/>
            <w:tcBorders>
              <w:left w:val="nil"/>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0" w:type="auto"/>
            <w:vMerge w:val="continue"/>
            <w:tcBorders>
              <w:left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省级赛区三等奖</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16</w:t>
            </w:r>
          </w:p>
        </w:tc>
        <w:tc>
          <w:tcPr>
            <w:tcW w:w="0" w:type="auto"/>
            <w:vMerge w:val="continue"/>
            <w:tcBorders>
              <w:left w:val="nil"/>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0" w:type="auto"/>
            <w:vMerge w:val="continue"/>
            <w:tcBorders>
              <w:left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省级赛区优秀奖</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14</w:t>
            </w:r>
          </w:p>
        </w:tc>
        <w:tc>
          <w:tcPr>
            <w:tcW w:w="0" w:type="auto"/>
            <w:vMerge w:val="continue"/>
            <w:tcBorders>
              <w:left w:val="nil"/>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0" w:type="auto"/>
            <w:vMerge w:val="continue"/>
            <w:tcBorders>
              <w:left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厅级赛区一等奖</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10</w:t>
            </w:r>
          </w:p>
        </w:tc>
        <w:tc>
          <w:tcPr>
            <w:tcW w:w="0" w:type="auto"/>
            <w:vMerge w:val="continue"/>
            <w:tcBorders>
              <w:left w:val="nil"/>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0" w:type="auto"/>
            <w:vMerge w:val="continue"/>
            <w:tcBorders>
              <w:left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厅级赛区二等奖</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8</w:t>
            </w:r>
          </w:p>
        </w:tc>
        <w:tc>
          <w:tcPr>
            <w:tcW w:w="0" w:type="auto"/>
            <w:vMerge w:val="continue"/>
            <w:tcBorders>
              <w:left w:val="nil"/>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0" w:type="auto"/>
            <w:vMerge w:val="continue"/>
            <w:tcBorders>
              <w:left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厅级赛区三等奖</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6</w:t>
            </w:r>
          </w:p>
        </w:tc>
        <w:tc>
          <w:tcPr>
            <w:tcW w:w="0" w:type="auto"/>
            <w:vMerge w:val="continue"/>
            <w:tcBorders>
              <w:left w:val="nil"/>
              <w:right w:val="single" w:color="auto" w:sz="4" w:space="0"/>
            </w:tcBorders>
            <w:vAlign w:val="center"/>
          </w:tcPr>
          <w:p>
            <w:pPr>
              <w:spacing w:after="0" w:line="240" w:lineRule="auto"/>
              <w:ind w:right="0" w:firstLine="0"/>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87" w:type="pct"/>
            <w:vMerge w:val="continue"/>
            <w:tcBorders>
              <w:left w:val="single" w:color="auto" w:sz="4" w:space="0"/>
              <w:bottom w:val="single" w:color="auto" w:sz="4" w:space="0"/>
              <w:right w:val="single" w:color="auto" w:sz="4" w:space="0"/>
            </w:tcBorders>
            <w:vAlign w:val="center"/>
          </w:tcPr>
          <w:p>
            <w:pPr>
              <w:autoSpaceDE w:val="0"/>
              <w:spacing w:after="0" w:line="360" w:lineRule="auto"/>
              <w:ind w:right="0" w:firstLine="0"/>
              <w:rPr>
                <w:rFonts w:cs="Times New Roman"/>
                <w:color w:val="auto"/>
                <w:sz w:val="24"/>
                <w:szCs w:val="24"/>
                <w:highlight w:val="none"/>
              </w:rPr>
            </w:pP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厅级赛区优秀奖</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4</w:t>
            </w:r>
          </w:p>
        </w:tc>
        <w:tc>
          <w:tcPr>
            <w:tcW w:w="1722" w:type="pct"/>
            <w:vMerge w:val="continue"/>
            <w:tcBorders>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87" w:type="pct"/>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专利</w:t>
            </w:r>
          </w:p>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成果</w:t>
            </w:r>
          </w:p>
        </w:tc>
        <w:tc>
          <w:tcPr>
            <w:tcW w:w="1374"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w:t>
            </w:r>
          </w:p>
        </w:tc>
        <w:tc>
          <w:tcPr>
            <w:tcW w:w="1217"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10</w:t>
            </w:r>
          </w:p>
        </w:tc>
        <w:tc>
          <w:tcPr>
            <w:tcW w:w="1722" w:type="pct"/>
            <w:tcBorders>
              <w:top w:val="single" w:color="auto" w:sz="4" w:space="0"/>
              <w:left w:val="nil"/>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证书记载发明人每人+10</w:t>
            </w:r>
          </w:p>
        </w:tc>
      </w:tr>
    </w:tbl>
    <w:p>
      <w:pPr>
        <w:pStyle w:val="2"/>
        <w:spacing w:before="545" w:line="264" w:lineRule="auto"/>
        <w:ind w:left="0" w:right="465" w:firstLine="0"/>
        <w:rPr>
          <w:b/>
          <w:bCs/>
          <w:highlight w:val="none"/>
        </w:rPr>
      </w:pPr>
      <w:r>
        <w:rPr>
          <w:b/>
          <w:bCs/>
          <w:highlight w:val="none"/>
        </w:rPr>
        <w:t>第六章 体育评价</w:t>
      </w:r>
    </w:p>
    <w:p>
      <w:pPr>
        <w:ind w:left="-15" w:right="0"/>
        <w:rPr>
          <w:highlight w:val="none"/>
        </w:rPr>
      </w:pPr>
      <w:r>
        <w:rPr>
          <w:highlight w:val="none"/>
        </w:rPr>
        <w:t>第二十四条 体育评价以引导研究生养成良好体育锻炼习惯和健康生活方式、锤炼坚强意志和培育合作精神为目的，着重对研究生日常参与体育锻炼情况、专项运动技能等方面进行评价。</w:t>
      </w:r>
    </w:p>
    <w:p>
      <w:pPr>
        <w:ind w:left="-15" w:right="0"/>
        <w:rPr>
          <w:highlight w:val="none"/>
        </w:rPr>
      </w:pPr>
      <w:r>
        <w:rPr>
          <w:highlight w:val="none"/>
        </w:rPr>
        <w:t xml:space="preserve">第二十五条 </w:t>
      </w:r>
      <w:r>
        <w:rPr>
          <w:rFonts w:hint="eastAsia"/>
          <w:highlight w:val="none"/>
        </w:rPr>
        <w:t>体育基本素质评价内容主要根据《关于全面加强和改进新时代学校体育工作的意见》的基本要求，考察研究生在校期间的修读体育课程、参与体育锻炼和体育活动等方面的表现。在评价周期内，研究生积极参与体育锻炼，体</w:t>
      </w:r>
      <w:r>
        <w:rPr>
          <w:highlight w:val="none"/>
        </w:rPr>
        <w:t>育基本素质可评定为“合格”等级。</w:t>
      </w:r>
    </w:p>
    <w:p>
      <w:pPr>
        <w:spacing w:line="335" w:lineRule="auto"/>
        <w:ind w:left="-15" w:right="156"/>
        <w:jc w:val="both"/>
        <w:rPr>
          <w:highlight w:val="none"/>
        </w:rPr>
      </w:pPr>
      <w:r>
        <w:rPr>
          <w:highlight w:val="none"/>
        </w:rPr>
        <w:t>第二十六条 体育基本素质评价以“班组评价-辅导员审核” 的方式开展。通过班组评价，充分发挥研究生自我教育和自我监督功能。</w:t>
      </w:r>
    </w:p>
    <w:p>
      <w:pPr>
        <w:spacing w:line="334" w:lineRule="auto"/>
        <w:ind w:left="-17" w:right="0" w:firstLine="618"/>
        <w:rPr>
          <w:highlight w:val="none"/>
        </w:rPr>
      </w:pPr>
      <w:r>
        <w:rPr>
          <w:highlight w:val="none"/>
        </w:rPr>
        <w:t>第二十七条 体育个性能力评价</w:t>
      </w:r>
      <w:r>
        <w:rPr>
          <w:rFonts w:hint="eastAsia"/>
          <w:highlight w:val="none"/>
        </w:rPr>
        <w:t>体育个性能力评价包含但不限于体育竞赛获奖等展示法硕中心研究生良好锻炼习惯和健康生活习惯的项目。</w:t>
      </w:r>
    </w:p>
    <w:p>
      <w:pPr>
        <w:widowControl w:val="0"/>
        <w:autoSpaceDE w:val="0"/>
        <w:spacing w:after="0" w:line="360" w:lineRule="auto"/>
        <w:ind w:right="0" w:firstLine="482" w:firstLineChars="200"/>
        <w:jc w:val="center"/>
        <w:rPr>
          <w:rFonts w:cs="Times New Roman"/>
          <w:sz w:val="24"/>
          <w:szCs w:val="24"/>
          <w:highlight w:val="none"/>
        </w:rPr>
      </w:pPr>
      <w:r>
        <w:rPr>
          <w:rFonts w:hint="eastAsia" w:cs="Times New Roman"/>
          <w:b/>
          <w:bCs/>
          <w:color w:val="auto"/>
          <w:sz w:val="24"/>
          <w:szCs w:val="24"/>
          <w:highlight w:val="none"/>
        </w:rPr>
        <w:t xml:space="preserve">表8 </w:t>
      </w:r>
      <w:r>
        <w:rPr>
          <w:rFonts w:hint="eastAsia" w:cs="Times New Roman"/>
          <w:b/>
          <w:bCs/>
          <w:color w:val="auto"/>
          <w:sz w:val="24"/>
          <w:szCs w:val="24"/>
          <w:highlight w:val="none"/>
          <w:lang w:val="en-US" w:eastAsia="zh-CN"/>
        </w:rPr>
        <w:t xml:space="preserve"> </w:t>
      </w:r>
      <w:r>
        <w:rPr>
          <w:rFonts w:hint="eastAsia" w:cs="Times New Roman"/>
          <w:b/>
          <w:bCs/>
          <w:color w:val="auto"/>
          <w:sz w:val="24"/>
          <w:szCs w:val="24"/>
          <w:highlight w:val="none"/>
        </w:rPr>
        <w:t>体育赛事分值表（单位：分）</w:t>
      </w:r>
    </w:p>
    <w:tbl>
      <w:tblPr>
        <w:tblStyle w:val="7"/>
        <w:tblW w:w="8586"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3445"/>
        <w:gridCol w:w="2976"/>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9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sz w:val="24"/>
                <w:szCs w:val="24"/>
                <w:highlight w:val="none"/>
              </w:rPr>
            </w:pPr>
            <w:r>
              <w:rPr>
                <w:rFonts w:hint="eastAsia" w:cs="Times New Roman"/>
                <w:b/>
                <w:bCs/>
                <w:sz w:val="24"/>
                <w:szCs w:val="24"/>
                <w:highlight w:val="none"/>
              </w:rPr>
              <w:t>类别</w:t>
            </w:r>
          </w:p>
        </w:tc>
        <w:tc>
          <w:tcPr>
            <w:tcW w:w="3445"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sz w:val="24"/>
                <w:szCs w:val="24"/>
                <w:highlight w:val="none"/>
              </w:rPr>
            </w:pPr>
            <w:r>
              <w:rPr>
                <w:rFonts w:hint="eastAsia" w:cs="Times New Roman"/>
                <w:b/>
                <w:bCs/>
                <w:sz w:val="24"/>
                <w:szCs w:val="24"/>
                <w:highlight w:val="none"/>
              </w:rPr>
              <w:t>等级</w:t>
            </w:r>
          </w:p>
        </w:tc>
        <w:tc>
          <w:tcPr>
            <w:tcW w:w="297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sz w:val="24"/>
                <w:szCs w:val="24"/>
                <w:highlight w:val="none"/>
              </w:rPr>
            </w:pPr>
            <w:r>
              <w:rPr>
                <w:rFonts w:hint="eastAsia" w:cs="Times New Roman"/>
                <w:b/>
                <w:bCs/>
                <w:sz w:val="24"/>
                <w:szCs w:val="24"/>
                <w:highlight w:val="none"/>
              </w:rPr>
              <w:t>分值</w:t>
            </w:r>
          </w:p>
        </w:tc>
        <w:tc>
          <w:tcPr>
            <w:tcW w:w="1371"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sz w:val="24"/>
                <w:szCs w:val="24"/>
                <w:highlight w:val="none"/>
              </w:rPr>
            </w:pPr>
            <w:r>
              <w:rPr>
                <w:rFonts w:hint="eastAsia" w:cs="Times New Roman"/>
                <w:b/>
                <w:bCs/>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794"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体育赛事</w:t>
            </w:r>
          </w:p>
        </w:tc>
        <w:tc>
          <w:tcPr>
            <w:tcW w:w="3445"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国家级体育赛事（一二三四五六七八名）</w:t>
            </w:r>
          </w:p>
        </w:tc>
        <w:tc>
          <w:tcPr>
            <w:tcW w:w="297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40/35/30/25/25/20/20/20</w:t>
            </w:r>
          </w:p>
        </w:tc>
        <w:tc>
          <w:tcPr>
            <w:tcW w:w="1371"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以上赛事获团体奖的，成员得平均分。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3445"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省部级体育赛事（一二三四五六七八名）</w:t>
            </w:r>
          </w:p>
        </w:tc>
        <w:tc>
          <w:tcPr>
            <w:tcW w:w="297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30/25/20/15/15/10/10/10</w:t>
            </w:r>
          </w:p>
        </w:tc>
        <w:tc>
          <w:tcPr>
            <w:tcW w:w="1371"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3445"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市、校级体育赛事（一二三四五六七八名）</w:t>
            </w:r>
          </w:p>
        </w:tc>
        <w:tc>
          <w:tcPr>
            <w:tcW w:w="297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20/15/10/5/5/2/2/2</w:t>
            </w:r>
          </w:p>
        </w:tc>
        <w:tc>
          <w:tcPr>
            <w:tcW w:w="1371"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r>
    </w:tbl>
    <w:p>
      <w:pPr>
        <w:pStyle w:val="2"/>
        <w:spacing w:before="545" w:line="264" w:lineRule="auto"/>
        <w:ind w:left="295" w:right="471" w:hanging="11"/>
        <w:rPr>
          <w:b/>
          <w:bCs/>
          <w:highlight w:val="none"/>
        </w:rPr>
      </w:pPr>
      <w:r>
        <w:rPr>
          <w:b/>
          <w:bCs/>
          <w:highlight w:val="none"/>
        </w:rPr>
        <w:t>第七章 美育评价</w:t>
      </w:r>
    </w:p>
    <w:p>
      <w:pPr>
        <w:ind w:left="-15" w:right="0"/>
        <w:rPr>
          <w:highlight w:val="none"/>
        </w:rPr>
      </w:pPr>
      <w:r>
        <w:rPr>
          <w:highlight w:val="none"/>
        </w:rPr>
        <w:t>第二十八条 美育评价以促进学生养成艺术爱好，增强艺术素养，全面提升学生感受美、表现美、鉴赏美、创造美的能力为目的，着重对研究生艺术技能、参与艺术实践活动情况等方面进行评价。</w:t>
      </w:r>
    </w:p>
    <w:p>
      <w:pPr>
        <w:ind w:left="-15" w:right="0"/>
        <w:rPr>
          <w:highlight w:val="none"/>
        </w:rPr>
      </w:pPr>
      <w:r>
        <w:rPr>
          <w:highlight w:val="none"/>
        </w:rPr>
        <w:t>第二十九条 美育基本素质评价与个性能力评价需侧重突出研究生在学习生活中应用自己的审美观，不断地提升自我创造美、表现美的能力。在日常生活中将美的观念、美的思想、美的情感、美的实践等与个人的行为相关联。</w:t>
      </w:r>
    </w:p>
    <w:p>
      <w:pPr>
        <w:ind w:left="-15" w:right="0"/>
        <w:rPr>
          <w:highlight w:val="none"/>
        </w:rPr>
      </w:pPr>
      <w:r>
        <w:rPr>
          <w:highlight w:val="none"/>
        </w:rPr>
        <w:t>第三十条 美育基本素质评价与个性能力评价采用鼓励的原则，激励研究生积极践行社会主义核心价值观，弘扬中华优秀传统文化，积极参与各类文艺创作或表演、演出，为繁荣校园文化、培育优良校风教风学风、营造高雅的校园文化与美育氛围做出积极贡献。</w:t>
      </w:r>
    </w:p>
    <w:p>
      <w:pPr>
        <w:ind w:left="-15" w:right="0"/>
        <w:rPr>
          <w:highlight w:val="none"/>
        </w:rPr>
      </w:pPr>
      <w:r>
        <w:rPr>
          <w:highlight w:val="none"/>
        </w:rPr>
        <w:t>第三十一条 美育基本素质评价内容主要根据《关于全面加强和改进新时代学校美育工作的意见》的基本要求，考察研究生在校期间修读文化艺术课程和开展文化艺术实践的表现。在评价周期内，</w:t>
      </w:r>
      <w:r>
        <w:rPr>
          <w:rFonts w:hint="eastAsia"/>
          <w:highlight w:val="none"/>
        </w:rPr>
        <w:t>无违反社会主义美德或错误的审美观，美</w:t>
      </w:r>
      <w:r>
        <w:rPr>
          <w:highlight w:val="none"/>
        </w:rPr>
        <w:t>育基本素质可评定为“合格”等级。</w:t>
      </w:r>
    </w:p>
    <w:p>
      <w:pPr>
        <w:spacing w:line="335" w:lineRule="auto"/>
        <w:ind w:left="156" w:right="0"/>
        <w:jc w:val="both"/>
        <w:rPr>
          <w:highlight w:val="none"/>
        </w:rPr>
      </w:pPr>
      <w:r>
        <w:rPr>
          <w:highlight w:val="none"/>
        </w:rPr>
        <w:t>第三十二条 美育基本素质评价以“班组评价-辅导员审核”的方式开展。通过班组评价，充分发挥研究生自我教育和自我监督功能。</w:t>
      </w:r>
    </w:p>
    <w:p>
      <w:pPr>
        <w:spacing w:after="25" w:line="334" w:lineRule="auto"/>
        <w:ind w:left="159" w:right="0" w:firstLine="618"/>
        <w:rPr>
          <w:highlight w:val="none"/>
        </w:rPr>
      </w:pPr>
      <w:r>
        <w:rPr>
          <w:highlight w:val="none"/>
        </w:rPr>
        <w:t>第三十三条 美育个性能力评价</w:t>
      </w:r>
      <w:r>
        <w:rPr>
          <w:rFonts w:hint="eastAsia"/>
          <w:highlight w:val="none"/>
        </w:rPr>
        <w:t>以</w:t>
      </w:r>
      <w:r>
        <w:rPr>
          <w:highlight w:val="none"/>
        </w:rPr>
        <w:t>研究生文化艺术实践成果为主，包括但不限于校内外各类文艺才艺类竞赛获奖、高水平文化艺术类成果等展示我校研究生良好人文艺术修养的项目。</w:t>
      </w:r>
    </w:p>
    <w:p>
      <w:pPr>
        <w:spacing w:after="25" w:line="334" w:lineRule="auto"/>
        <w:ind w:left="159" w:right="0" w:firstLine="618"/>
        <w:rPr>
          <w:highlight w:val="none"/>
        </w:rPr>
      </w:pPr>
    </w:p>
    <w:p>
      <w:pPr>
        <w:widowControl w:val="0"/>
        <w:autoSpaceDE w:val="0"/>
        <w:spacing w:after="0" w:line="360" w:lineRule="auto"/>
        <w:ind w:right="0" w:firstLine="482" w:firstLineChars="200"/>
        <w:jc w:val="center"/>
        <w:rPr>
          <w:rFonts w:ascii="宋体" w:hAnsi="宋体" w:eastAsia="宋体" w:cs="Times New Roman"/>
          <w:b/>
          <w:bCs/>
          <w:sz w:val="24"/>
          <w:szCs w:val="24"/>
          <w:highlight w:val="none"/>
        </w:rPr>
      </w:pPr>
    </w:p>
    <w:p>
      <w:pPr>
        <w:widowControl w:val="0"/>
        <w:autoSpaceDE w:val="0"/>
        <w:spacing w:after="0" w:line="360" w:lineRule="auto"/>
        <w:ind w:right="0" w:firstLine="482" w:firstLineChars="200"/>
        <w:jc w:val="center"/>
        <w:rPr>
          <w:rFonts w:ascii="宋体" w:hAnsi="宋体" w:eastAsia="宋体" w:cs="Times New Roman"/>
          <w:sz w:val="24"/>
          <w:szCs w:val="24"/>
          <w:highlight w:val="none"/>
        </w:rPr>
      </w:pPr>
      <w:r>
        <w:rPr>
          <w:rFonts w:hint="eastAsia" w:ascii="宋体" w:hAnsi="宋体" w:eastAsia="宋体" w:cs="Times New Roman"/>
          <w:b/>
          <w:bCs/>
          <w:sz w:val="24"/>
          <w:szCs w:val="24"/>
          <w:highlight w:val="none"/>
        </w:rPr>
        <w:t xml:space="preserve">表9 </w:t>
      </w:r>
      <w:r>
        <w:rPr>
          <w:rFonts w:hint="eastAsia" w:ascii="宋体" w:hAnsi="宋体" w:eastAsia="宋体" w:cs="Times New Roman"/>
          <w:b/>
          <w:bCs/>
          <w:sz w:val="24"/>
          <w:szCs w:val="24"/>
          <w:highlight w:val="none"/>
          <w:lang w:val="en-US" w:eastAsia="zh-CN"/>
        </w:rPr>
        <w:t xml:space="preserve"> </w:t>
      </w:r>
      <w:r>
        <w:rPr>
          <w:rFonts w:hint="eastAsia" w:ascii="宋体" w:hAnsi="宋体" w:eastAsia="宋体" w:cs="Times New Roman"/>
          <w:b/>
          <w:bCs/>
          <w:sz w:val="24"/>
          <w:szCs w:val="24"/>
          <w:highlight w:val="none"/>
        </w:rPr>
        <w:t>美育获奖分值表（单位：分）</w:t>
      </w:r>
    </w:p>
    <w:tbl>
      <w:tblPr>
        <w:tblStyle w:val="7"/>
        <w:tblW w:w="911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2102"/>
        <w:gridCol w:w="2016"/>
        <w:gridCol w:w="2144"/>
        <w:gridCol w:w="2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sz w:val="24"/>
                <w:szCs w:val="24"/>
                <w:highlight w:val="none"/>
              </w:rPr>
            </w:pPr>
            <w:r>
              <w:rPr>
                <w:rFonts w:hint="eastAsia" w:cs="Times New Roman"/>
                <w:b/>
                <w:bCs/>
                <w:sz w:val="24"/>
                <w:szCs w:val="24"/>
                <w:highlight w:val="none"/>
              </w:rPr>
              <w:t>类别</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sz w:val="24"/>
                <w:szCs w:val="24"/>
                <w:highlight w:val="none"/>
              </w:rPr>
            </w:pPr>
            <w:r>
              <w:rPr>
                <w:rFonts w:hint="eastAsia" w:cs="Times New Roman"/>
                <w:b/>
                <w:bCs/>
                <w:sz w:val="24"/>
                <w:szCs w:val="24"/>
                <w:highlight w:val="none"/>
              </w:rPr>
              <w:t>类型</w:t>
            </w:r>
          </w:p>
        </w:tc>
        <w:tc>
          <w:tcPr>
            <w:tcW w:w="201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sz w:val="24"/>
                <w:szCs w:val="24"/>
                <w:highlight w:val="none"/>
              </w:rPr>
            </w:pPr>
            <w:r>
              <w:rPr>
                <w:rFonts w:hint="eastAsia" w:cs="Times New Roman"/>
                <w:b/>
                <w:bCs/>
                <w:sz w:val="24"/>
                <w:szCs w:val="24"/>
                <w:highlight w:val="none"/>
              </w:rPr>
              <w:t>等级</w:t>
            </w:r>
          </w:p>
        </w:tc>
        <w:tc>
          <w:tcPr>
            <w:tcW w:w="214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sz w:val="24"/>
                <w:szCs w:val="24"/>
                <w:highlight w:val="none"/>
              </w:rPr>
            </w:pPr>
            <w:r>
              <w:rPr>
                <w:rFonts w:hint="eastAsia" w:cs="Times New Roman"/>
                <w:b/>
                <w:bCs/>
                <w:sz w:val="24"/>
                <w:szCs w:val="24"/>
                <w:highlight w:val="none"/>
              </w:rPr>
              <w:t>个人获奖分值</w:t>
            </w:r>
          </w:p>
        </w:tc>
        <w:tc>
          <w:tcPr>
            <w:tcW w:w="2038"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sz w:val="24"/>
                <w:szCs w:val="24"/>
                <w:highlight w:val="none"/>
              </w:rPr>
            </w:pPr>
            <w:r>
              <w:rPr>
                <w:rFonts w:hint="eastAsia" w:cs="Times New Roman"/>
                <w:b/>
                <w:bCs/>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美育</w:t>
            </w:r>
          </w:p>
        </w:tc>
        <w:tc>
          <w:tcPr>
            <w:tcW w:w="2102"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由法硕中心及以上组织的非学术性征文</w:t>
            </w:r>
          </w:p>
        </w:tc>
        <w:tc>
          <w:tcPr>
            <w:tcW w:w="201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国家级获奖（一二三等、优秀奖）</w:t>
            </w:r>
          </w:p>
        </w:tc>
        <w:tc>
          <w:tcPr>
            <w:tcW w:w="214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40/35/30/25</w:t>
            </w:r>
          </w:p>
        </w:tc>
        <w:tc>
          <w:tcPr>
            <w:tcW w:w="2038"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以上赛事获团体奖的，成员得平均分。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10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01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省部级获奖（一二三等、优秀奖）</w:t>
            </w:r>
          </w:p>
        </w:tc>
        <w:tc>
          <w:tcPr>
            <w:tcW w:w="214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30/25/20/15</w:t>
            </w:r>
          </w:p>
        </w:tc>
        <w:tc>
          <w:tcPr>
            <w:tcW w:w="203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10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01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校级获奖（一二三等、优秀奖）</w:t>
            </w:r>
          </w:p>
        </w:tc>
        <w:tc>
          <w:tcPr>
            <w:tcW w:w="214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10/5/3/2</w:t>
            </w:r>
          </w:p>
        </w:tc>
        <w:tc>
          <w:tcPr>
            <w:tcW w:w="203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10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01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院级获奖</w:t>
            </w:r>
          </w:p>
        </w:tc>
        <w:tc>
          <w:tcPr>
            <w:tcW w:w="214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480" w:firstLineChars="200"/>
              <w:jc w:val="center"/>
              <w:rPr>
                <w:rFonts w:cs="Times New Roman"/>
                <w:sz w:val="24"/>
                <w:szCs w:val="24"/>
                <w:highlight w:val="none"/>
              </w:rPr>
            </w:pPr>
            <w:r>
              <w:rPr>
                <w:rFonts w:hint="eastAsia" w:cs="Times New Roman"/>
                <w:sz w:val="24"/>
                <w:szCs w:val="24"/>
                <w:highlight w:val="none"/>
              </w:rPr>
              <w:t>2</w:t>
            </w:r>
          </w:p>
        </w:tc>
        <w:tc>
          <w:tcPr>
            <w:tcW w:w="203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102"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由法硕中心及以上推荐参加文艺比赛获奖</w:t>
            </w:r>
          </w:p>
        </w:tc>
        <w:tc>
          <w:tcPr>
            <w:tcW w:w="201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国家级获奖（一二三等、优秀奖）</w:t>
            </w:r>
          </w:p>
        </w:tc>
        <w:tc>
          <w:tcPr>
            <w:tcW w:w="214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480" w:firstLineChars="200"/>
              <w:jc w:val="center"/>
              <w:rPr>
                <w:rFonts w:cs="Times New Roman"/>
                <w:sz w:val="24"/>
                <w:szCs w:val="24"/>
                <w:highlight w:val="none"/>
              </w:rPr>
            </w:pPr>
            <w:r>
              <w:rPr>
                <w:rFonts w:hint="eastAsia" w:cs="Times New Roman"/>
                <w:sz w:val="24"/>
                <w:szCs w:val="24"/>
                <w:highlight w:val="none"/>
              </w:rPr>
              <w:t>40/35/30/25</w:t>
            </w:r>
          </w:p>
        </w:tc>
        <w:tc>
          <w:tcPr>
            <w:tcW w:w="203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10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01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省部级获奖（一二三等、优秀奖）</w:t>
            </w:r>
          </w:p>
        </w:tc>
        <w:tc>
          <w:tcPr>
            <w:tcW w:w="214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480" w:firstLineChars="200"/>
              <w:jc w:val="center"/>
              <w:rPr>
                <w:rFonts w:cs="Times New Roman"/>
                <w:sz w:val="24"/>
                <w:szCs w:val="24"/>
                <w:highlight w:val="none"/>
              </w:rPr>
            </w:pPr>
            <w:r>
              <w:rPr>
                <w:rFonts w:hint="eastAsia" w:cs="Times New Roman"/>
                <w:sz w:val="24"/>
                <w:szCs w:val="24"/>
                <w:highlight w:val="none"/>
              </w:rPr>
              <w:t>30/25/20/15</w:t>
            </w:r>
          </w:p>
        </w:tc>
        <w:tc>
          <w:tcPr>
            <w:tcW w:w="203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10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01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校级获奖（一二三等、优秀奖）</w:t>
            </w:r>
          </w:p>
        </w:tc>
        <w:tc>
          <w:tcPr>
            <w:tcW w:w="214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480" w:firstLineChars="200"/>
              <w:jc w:val="center"/>
              <w:rPr>
                <w:rFonts w:cs="Times New Roman"/>
                <w:sz w:val="24"/>
                <w:szCs w:val="24"/>
                <w:highlight w:val="none"/>
              </w:rPr>
            </w:pPr>
            <w:r>
              <w:rPr>
                <w:rFonts w:hint="eastAsia" w:cs="Times New Roman"/>
                <w:sz w:val="24"/>
                <w:szCs w:val="24"/>
                <w:highlight w:val="none"/>
              </w:rPr>
              <w:t>10/5/3/2</w:t>
            </w:r>
          </w:p>
        </w:tc>
        <w:tc>
          <w:tcPr>
            <w:tcW w:w="203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10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01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经法硕中心及以上推荐参加文艺比赛未获奖的，每次加1分。</w:t>
            </w:r>
          </w:p>
        </w:tc>
        <w:tc>
          <w:tcPr>
            <w:tcW w:w="214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480" w:firstLineChars="200"/>
              <w:jc w:val="center"/>
              <w:rPr>
                <w:rFonts w:cs="Times New Roman"/>
                <w:sz w:val="24"/>
                <w:szCs w:val="24"/>
                <w:highlight w:val="none"/>
              </w:rPr>
            </w:pPr>
            <w:r>
              <w:rPr>
                <w:rFonts w:hint="eastAsia" w:cs="Times New Roman"/>
                <w:sz w:val="24"/>
                <w:szCs w:val="24"/>
                <w:highlight w:val="none"/>
              </w:rPr>
              <w:t>1</w:t>
            </w:r>
          </w:p>
        </w:tc>
        <w:tc>
          <w:tcPr>
            <w:tcW w:w="203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sz w:val="24"/>
                <w:szCs w:val="24"/>
                <w:highlight w:val="none"/>
              </w:rPr>
            </w:pPr>
          </w:p>
        </w:tc>
        <w:tc>
          <w:tcPr>
            <w:tcW w:w="2102"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其他在爱国爱党、社会奉献、道德引领等美育表现方面有榜样示范作用</w:t>
            </w:r>
          </w:p>
        </w:tc>
        <w:tc>
          <w:tcPr>
            <w:tcW w:w="2016"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sz w:val="24"/>
                <w:szCs w:val="24"/>
                <w:highlight w:val="none"/>
              </w:rPr>
            </w:pPr>
            <w:r>
              <w:rPr>
                <w:rFonts w:hint="eastAsia" w:cs="Times New Roman"/>
                <w:sz w:val="24"/>
                <w:szCs w:val="24"/>
                <w:highlight w:val="none"/>
              </w:rPr>
              <w:t>根据奖励级别和社会影响力认定</w:t>
            </w:r>
          </w:p>
        </w:tc>
        <w:tc>
          <w:tcPr>
            <w:tcW w:w="2144"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480" w:firstLineChars="200"/>
              <w:jc w:val="center"/>
              <w:rPr>
                <w:rFonts w:cs="Times New Roman"/>
                <w:sz w:val="24"/>
                <w:szCs w:val="24"/>
                <w:highlight w:val="none"/>
              </w:rPr>
            </w:pPr>
            <w:r>
              <w:rPr>
                <w:rFonts w:hint="eastAsia" w:cs="Times New Roman"/>
                <w:sz w:val="24"/>
                <w:szCs w:val="24"/>
                <w:highlight w:val="none"/>
              </w:rPr>
              <w:t>1-40</w:t>
            </w:r>
          </w:p>
        </w:tc>
        <w:tc>
          <w:tcPr>
            <w:tcW w:w="2038" w:type="dxa"/>
            <w:vMerge w:val="continue"/>
            <w:tcBorders>
              <w:top w:val="nil"/>
              <w:left w:val="single" w:color="auto" w:sz="4" w:space="0"/>
              <w:bottom w:val="single" w:color="auto" w:sz="4" w:space="0"/>
              <w:right w:val="single" w:color="auto" w:sz="4" w:space="0"/>
            </w:tcBorders>
            <w:vAlign w:val="center"/>
          </w:tcPr>
          <w:p>
            <w:pPr>
              <w:spacing w:after="0" w:line="240" w:lineRule="auto"/>
              <w:ind w:right="0" w:firstLine="0"/>
              <w:rPr>
                <w:rFonts w:ascii="宋体" w:hAnsi="宋体" w:eastAsia="宋体" w:cs="Times New Roman"/>
                <w:sz w:val="21"/>
                <w:szCs w:val="21"/>
                <w:highlight w:val="none"/>
              </w:rPr>
            </w:pPr>
          </w:p>
        </w:tc>
      </w:tr>
    </w:tbl>
    <w:p>
      <w:pPr>
        <w:pStyle w:val="2"/>
        <w:spacing w:before="545" w:line="264" w:lineRule="auto"/>
        <w:ind w:left="295" w:right="153" w:hanging="11"/>
        <w:rPr>
          <w:b/>
          <w:bCs/>
          <w:highlight w:val="none"/>
        </w:rPr>
      </w:pPr>
      <w:r>
        <w:rPr>
          <w:b/>
          <w:bCs/>
          <w:highlight w:val="none"/>
        </w:rPr>
        <w:t>第八章 劳育评价</w:t>
      </w:r>
    </w:p>
    <w:p>
      <w:pPr>
        <w:ind w:left="156" w:right="0"/>
        <w:rPr>
          <w:highlight w:val="none"/>
        </w:rPr>
      </w:pPr>
      <w:r>
        <w:rPr>
          <w:highlight w:val="none"/>
        </w:rPr>
        <w:t>第三十四条 劳育评价以提升研究生劳动素养，引导研究生崇尚劳动、尊重劳动，让研究生在实践实训中养成劳动习惯为目的，形成健全人格与良好的道德品质，着重对研究生参加劳动的情况进行过程性评价。</w:t>
      </w:r>
    </w:p>
    <w:p>
      <w:pPr>
        <w:ind w:left="-15" w:right="0"/>
        <w:rPr>
          <w:highlight w:val="none"/>
        </w:rPr>
      </w:pPr>
      <w:r>
        <w:rPr>
          <w:highlight w:val="none"/>
        </w:rPr>
        <w:t>第三十五条 劳育基本素质评价内容主要根据《中共中央国务院关于全面加强新时代大中小学劳动教育的意见》《中南财经政法大学关于全面加强新时代大学生劳动教育的实施方案》等文件基本要求，考察研究生在校期间的劳动观念、劳动精神、劳动能力、劳动习惯和劳动品质等方面的表现。在评价周期内，</w:t>
      </w:r>
      <w:r>
        <w:rPr>
          <w:rFonts w:hint="eastAsia"/>
          <w:highlight w:val="none"/>
        </w:rPr>
        <w:t>无错误的劳动观，劳</w:t>
      </w:r>
      <w:r>
        <w:rPr>
          <w:highlight w:val="none"/>
        </w:rPr>
        <w:t>育基本素质可评定为“合格”等级。</w:t>
      </w:r>
    </w:p>
    <w:p>
      <w:pPr>
        <w:spacing w:line="335" w:lineRule="auto"/>
        <w:ind w:left="156" w:right="0"/>
        <w:jc w:val="both"/>
        <w:rPr>
          <w:highlight w:val="none"/>
        </w:rPr>
      </w:pPr>
      <w:r>
        <w:rPr>
          <w:highlight w:val="none"/>
        </w:rPr>
        <w:t>第三十六条 劳育基本素质评价以“班组评价-辅导员审核”的方式开展。通过班组评价，充分发挥研究生自我教育和自我监督功能。</w:t>
      </w:r>
    </w:p>
    <w:p>
      <w:pPr>
        <w:spacing w:line="334" w:lineRule="auto"/>
        <w:ind w:left="159" w:right="0" w:firstLine="618"/>
        <w:rPr>
          <w:highlight w:val="none"/>
        </w:rPr>
      </w:pPr>
      <w:r>
        <w:rPr>
          <w:highlight w:val="none"/>
        </w:rPr>
        <w:t>第三十七条 劳育个性能力评价内容，包括但不限于在参与社会实践项目或参与创新创业项目中获奖</w:t>
      </w:r>
      <w:r>
        <w:rPr>
          <w:rFonts w:hint="eastAsia"/>
          <w:highlight w:val="none"/>
        </w:rPr>
        <w:t>、</w:t>
      </w:r>
      <w:r>
        <w:rPr>
          <w:highlight w:val="none"/>
        </w:rPr>
        <w:t>在劳动榜样典型选树中获荣誉表彰等展示我校研究生正确劳动价值观的表现。</w:t>
      </w:r>
    </w:p>
    <w:p>
      <w:pPr>
        <w:spacing w:line="334" w:lineRule="auto"/>
        <w:ind w:left="159" w:right="0" w:firstLine="618"/>
        <w:rPr>
          <w:highlight w:val="none"/>
        </w:rPr>
      </w:pPr>
    </w:p>
    <w:p>
      <w:pPr>
        <w:spacing w:line="334" w:lineRule="auto"/>
        <w:ind w:left="159" w:right="0" w:firstLine="618"/>
        <w:rPr>
          <w:highlight w:val="none"/>
        </w:rPr>
      </w:pPr>
    </w:p>
    <w:p>
      <w:pPr>
        <w:widowControl w:val="0"/>
        <w:autoSpaceDE w:val="0"/>
        <w:spacing w:after="0" w:line="360" w:lineRule="auto"/>
        <w:ind w:right="0" w:firstLine="482" w:firstLineChars="200"/>
        <w:jc w:val="center"/>
        <w:rPr>
          <w:rFonts w:cs="Times New Roman"/>
          <w:b/>
          <w:bCs/>
          <w:color w:val="auto"/>
          <w:sz w:val="24"/>
          <w:szCs w:val="24"/>
          <w:highlight w:val="none"/>
        </w:rPr>
      </w:pPr>
      <w:r>
        <w:rPr>
          <w:rFonts w:hint="eastAsia" w:cs="Times New Roman"/>
          <w:b/>
          <w:bCs/>
          <w:color w:val="auto"/>
          <w:sz w:val="24"/>
          <w:szCs w:val="24"/>
          <w:highlight w:val="none"/>
        </w:rPr>
        <w:t xml:space="preserve">表10 </w:t>
      </w:r>
      <w:r>
        <w:rPr>
          <w:rFonts w:hint="eastAsia" w:cs="Times New Roman"/>
          <w:b/>
          <w:bCs/>
          <w:color w:val="auto"/>
          <w:sz w:val="24"/>
          <w:szCs w:val="24"/>
          <w:highlight w:val="none"/>
          <w:lang w:val="en-US" w:eastAsia="zh-CN"/>
        </w:rPr>
        <w:t xml:space="preserve"> </w:t>
      </w:r>
      <w:r>
        <w:rPr>
          <w:rFonts w:hint="eastAsia" w:cs="Times New Roman"/>
          <w:b/>
          <w:bCs/>
          <w:color w:val="auto"/>
          <w:sz w:val="24"/>
          <w:szCs w:val="24"/>
          <w:highlight w:val="none"/>
        </w:rPr>
        <w:t>劳育类活动</w:t>
      </w:r>
      <w:r>
        <w:rPr>
          <w:rFonts w:hint="eastAsia" w:cs="Times New Roman"/>
          <w:b/>
          <w:bCs/>
          <w:kern w:val="0"/>
          <w:sz w:val="24"/>
          <w:szCs w:val="24"/>
          <w:highlight w:val="none"/>
        </w:rPr>
        <w:t>（单位：分）</w:t>
      </w:r>
    </w:p>
    <w:tbl>
      <w:tblPr>
        <w:tblStyle w:val="7"/>
        <w:tblW w:w="8789"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
        <w:gridCol w:w="2461"/>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类别</w:t>
            </w:r>
          </w:p>
        </w:tc>
        <w:tc>
          <w:tcPr>
            <w:tcW w:w="2461"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类型</w:t>
            </w:r>
          </w:p>
        </w:tc>
        <w:tc>
          <w:tcPr>
            <w:tcW w:w="5387"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b/>
                <w:bCs/>
                <w:color w:val="auto"/>
                <w:sz w:val="24"/>
                <w:szCs w:val="24"/>
                <w:highlight w:val="none"/>
              </w:rPr>
            </w:pPr>
            <w:r>
              <w:rPr>
                <w:rFonts w:hint="eastAsia" w:cs="Times New Roman"/>
                <w:b/>
                <w:bCs/>
                <w:color w:val="auto"/>
                <w:sz w:val="24"/>
                <w:szCs w:val="24"/>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941" w:type="dxa"/>
            <w:vMerge w:val="restart"/>
            <w:tcBorders>
              <w:top w:val="nil"/>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劳育</w:t>
            </w:r>
          </w:p>
        </w:tc>
        <w:tc>
          <w:tcPr>
            <w:tcW w:w="2461"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参加校级以上劳育类竞赛获奖</w:t>
            </w:r>
          </w:p>
        </w:tc>
        <w:tc>
          <w:tcPr>
            <w:tcW w:w="5387"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获校级以上一、二、三等奖、优秀奖分别加10、8、5、2分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941" w:type="dxa"/>
            <w:vMerge w:val="continue"/>
            <w:tcBorders>
              <w:top w:val="nil"/>
              <w:left w:val="single" w:color="auto" w:sz="4" w:space="0"/>
              <w:bottom w:val="nil"/>
              <w:right w:val="single" w:color="auto" w:sz="4" w:space="0"/>
            </w:tcBorders>
            <w:vAlign w:val="center"/>
          </w:tcPr>
          <w:p>
            <w:pPr>
              <w:spacing w:after="0" w:line="240" w:lineRule="auto"/>
              <w:ind w:right="0" w:firstLine="0"/>
              <w:rPr>
                <w:rFonts w:cs="Times New Roman"/>
                <w:color w:val="auto"/>
                <w:sz w:val="24"/>
                <w:szCs w:val="24"/>
                <w:highlight w:val="none"/>
              </w:rPr>
            </w:pPr>
          </w:p>
        </w:tc>
        <w:tc>
          <w:tcPr>
            <w:tcW w:w="2461"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color w:val="auto"/>
                <w:sz w:val="24"/>
                <w:szCs w:val="24"/>
                <w:highlight w:val="none"/>
              </w:rPr>
              <w:t>参加院级劳育类竞赛获奖</w:t>
            </w:r>
          </w:p>
        </w:tc>
        <w:tc>
          <w:tcPr>
            <w:tcW w:w="5387" w:type="dxa"/>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auto"/>
                <w:sz w:val="24"/>
                <w:szCs w:val="24"/>
                <w:highlight w:val="none"/>
              </w:rPr>
            </w:pPr>
            <w:r>
              <w:rPr>
                <w:rFonts w:hint="eastAsia" w:cs="Times New Roman"/>
                <w:sz w:val="24"/>
                <w:szCs w:val="24"/>
                <w:highlight w:val="none"/>
              </w:rPr>
              <w:t>获院级一、二、三等奖、优秀奖/参与奖分别加8</w:t>
            </w:r>
            <w:r>
              <w:rPr>
                <w:rFonts w:hint="eastAsia" w:cs="Times New Roman"/>
                <w:color w:val="auto"/>
                <w:sz w:val="24"/>
                <w:szCs w:val="24"/>
                <w:highlight w:val="none"/>
              </w:rPr>
              <w:t>、6、3、1分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941" w:type="dxa"/>
            <w:tcBorders>
              <w:top w:val="nil"/>
              <w:left w:val="single" w:color="auto" w:sz="4" w:space="0"/>
              <w:bottom w:val="single" w:color="auto" w:sz="4" w:space="0"/>
              <w:right w:val="single" w:color="auto" w:sz="4" w:space="0"/>
            </w:tcBorders>
            <w:vAlign w:val="center"/>
          </w:tcPr>
          <w:p>
            <w:pPr>
              <w:spacing w:after="0" w:line="240" w:lineRule="auto"/>
              <w:ind w:right="0" w:firstLine="0"/>
              <w:rPr>
                <w:rFonts w:cs="Times New Roman"/>
                <w:color w:val="auto"/>
                <w:sz w:val="24"/>
                <w:szCs w:val="24"/>
                <w:highlight w:val="none"/>
              </w:rPr>
            </w:pPr>
          </w:p>
        </w:tc>
        <w:tc>
          <w:tcPr>
            <w:tcW w:w="7848" w:type="dxa"/>
            <w:gridSpan w:val="2"/>
            <w:tcBorders>
              <w:top w:val="single" w:color="auto" w:sz="4" w:space="0"/>
              <w:left w:val="single" w:color="auto" w:sz="4" w:space="0"/>
              <w:bottom w:val="single" w:color="auto" w:sz="4" w:space="0"/>
              <w:right w:val="single" w:color="auto" w:sz="4" w:space="0"/>
            </w:tcBorders>
            <w:vAlign w:val="center"/>
          </w:tcPr>
          <w:p>
            <w:pPr>
              <w:widowControl w:val="0"/>
              <w:autoSpaceDE w:val="0"/>
              <w:spacing w:after="0" w:line="360" w:lineRule="auto"/>
              <w:ind w:right="0" w:firstLine="0"/>
              <w:jc w:val="center"/>
              <w:rPr>
                <w:rFonts w:cs="Times New Roman"/>
                <w:color w:val="000000" w:themeColor="text1"/>
                <w:sz w:val="24"/>
                <w:szCs w:val="24"/>
                <w:highlight w:val="none"/>
              </w:rPr>
            </w:pPr>
            <w:r>
              <w:rPr>
                <w:rFonts w:hint="eastAsia" w:ascii="宋体" w:hAnsi="宋体" w:cs="宋体"/>
                <w:color w:val="000000" w:themeColor="text1"/>
                <w:sz w:val="24"/>
                <w:szCs w:val="24"/>
                <w:highlight w:val="none"/>
              </w:rPr>
              <w:t>备注：校团委社会实践项目顺利结项加10分</w:t>
            </w:r>
          </w:p>
        </w:tc>
      </w:tr>
    </w:tbl>
    <w:p>
      <w:pPr>
        <w:pStyle w:val="2"/>
        <w:spacing w:before="545" w:line="264" w:lineRule="auto"/>
        <w:ind w:left="295" w:right="153" w:hanging="11"/>
        <w:rPr>
          <w:b/>
          <w:bCs/>
          <w:highlight w:val="none"/>
        </w:rPr>
      </w:pPr>
      <w:r>
        <w:rPr>
          <w:b/>
          <w:bCs/>
          <w:highlight w:val="none"/>
        </w:rPr>
        <w:t>第九章 违规违纪</w:t>
      </w:r>
    </w:p>
    <w:p>
      <w:pPr>
        <w:ind w:left="156" w:right="0"/>
        <w:rPr>
          <w:highlight w:val="none"/>
        </w:rPr>
      </w:pPr>
      <w:r>
        <w:rPr>
          <w:highlight w:val="none"/>
        </w:rPr>
        <w:t>第三十八条 对于存在违纪违规等不良行为并造成不良影响的学生，在德育评价模块总得分计为零分。</w:t>
      </w:r>
    </w:p>
    <w:p>
      <w:pPr>
        <w:spacing w:after="545" w:line="336" w:lineRule="auto"/>
        <w:ind w:left="159" w:right="0" w:firstLine="618"/>
        <w:jc w:val="both"/>
        <w:rPr>
          <w:highlight w:val="none"/>
        </w:rPr>
      </w:pPr>
      <w:r>
        <w:rPr>
          <w:highlight w:val="none"/>
        </w:rPr>
        <w:t>第三十九条 凡受纪律处分的学生，自违纪处分下达之日起至违纪处分解除之日止，不得在法硕</w:t>
      </w:r>
      <w:r>
        <w:rPr>
          <w:rFonts w:hint="eastAsia"/>
          <w:highlight w:val="none"/>
        </w:rPr>
        <w:t>中心及学校</w:t>
      </w:r>
      <w:r>
        <w:rPr>
          <w:highlight w:val="none"/>
        </w:rPr>
        <w:t>参评各级各类奖学金和荣誉称号等。</w:t>
      </w:r>
    </w:p>
    <w:p>
      <w:pPr>
        <w:pStyle w:val="2"/>
        <w:ind w:left="293" w:right="154"/>
        <w:rPr>
          <w:b/>
          <w:bCs/>
          <w:highlight w:val="none"/>
        </w:rPr>
      </w:pPr>
      <w:r>
        <w:rPr>
          <w:b/>
          <w:bCs/>
          <w:highlight w:val="none"/>
        </w:rPr>
        <w:t>第十章 附则</w:t>
      </w:r>
    </w:p>
    <w:p>
      <w:pPr>
        <w:ind w:left="156" w:right="0"/>
        <w:rPr>
          <w:highlight w:val="none"/>
        </w:rPr>
      </w:pPr>
      <w:r>
        <w:rPr>
          <w:highlight w:val="none"/>
        </w:rPr>
        <w:t>第四十条</w:t>
      </w:r>
      <w:r>
        <w:rPr>
          <w:rFonts w:hint="eastAsia"/>
          <w:highlight w:val="none"/>
        </w:rPr>
        <w:t xml:space="preserve"> 法硕中心</w:t>
      </w:r>
      <w:r>
        <w:rPr>
          <w:highlight w:val="none"/>
        </w:rPr>
        <w:t>自主认定德智体美劳评价内容（含基本素质评价和个性能力评价），应根据实际情况提前向法硕</w:t>
      </w:r>
      <w:r>
        <w:rPr>
          <w:rFonts w:hint="eastAsia"/>
          <w:highlight w:val="none"/>
        </w:rPr>
        <w:t>中心全体</w:t>
      </w:r>
      <w:r>
        <w:rPr>
          <w:highlight w:val="none"/>
        </w:rPr>
        <w:t>研究生公示</w:t>
      </w:r>
      <w:r>
        <w:rPr>
          <w:rFonts w:hint="eastAsia"/>
          <w:highlight w:val="none"/>
        </w:rPr>
        <w:t>，各项评价指标加分和扣分情况具体参考《法律硕士教育中心研究生学业奖学金评定细则（2021年10月27日修订）》。</w:t>
      </w:r>
    </w:p>
    <w:p>
      <w:pPr>
        <w:spacing w:after="144" w:line="259" w:lineRule="auto"/>
        <w:ind w:left="785" w:right="0" w:firstLine="0"/>
        <w:rPr>
          <w:highlight w:val="none"/>
        </w:rPr>
      </w:pPr>
      <w:r>
        <w:rPr>
          <w:highlight w:val="none"/>
        </w:rPr>
        <w:t>第四十一条 本办法由</w:t>
      </w:r>
      <w:r>
        <w:rPr>
          <w:rFonts w:hint="eastAsia"/>
          <w:highlight w:val="none"/>
        </w:rPr>
        <w:t>法硕中心</w:t>
      </w:r>
      <w:r>
        <w:rPr>
          <w:highlight w:val="none"/>
        </w:rPr>
        <w:t>负责解释。</w:t>
      </w:r>
    </w:p>
    <w:p>
      <w:pPr>
        <w:tabs>
          <w:tab w:val="left" w:pos="707"/>
        </w:tabs>
        <w:autoSpaceDE w:val="0"/>
        <w:spacing w:line="360" w:lineRule="auto"/>
        <w:ind w:left="782" w:right="289" w:firstLine="0"/>
        <w:rPr>
          <w:rFonts w:ascii="宋体" w:hAnsi="宋体" w:eastAsia="宋体" w:cs="Times New Roman"/>
          <w:color w:val="auto"/>
          <w:sz w:val="24"/>
          <w:szCs w:val="24"/>
          <w:highlight w:val="none"/>
        </w:rPr>
      </w:pPr>
      <w:r>
        <w:rPr>
          <w:highlight w:val="none"/>
        </w:rPr>
        <w:t>第四十二条 本办法自发布之日开始施行。</w:t>
      </w:r>
    </w:p>
    <w:p>
      <w:pPr>
        <w:autoSpaceDE w:val="0"/>
        <w:spacing w:line="360" w:lineRule="auto"/>
        <w:ind w:firstLine="480" w:firstLineChars="200"/>
        <w:jc w:val="right"/>
        <w:rPr>
          <w:rFonts w:ascii="宋体" w:hAnsi="宋体"/>
          <w:sz w:val="24"/>
          <w:szCs w:val="24"/>
          <w:highlight w:val="none"/>
        </w:rPr>
      </w:pPr>
    </w:p>
    <w:p>
      <w:pPr>
        <w:autoSpaceDE w:val="0"/>
        <w:spacing w:line="360" w:lineRule="auto"/>
        <w:ind w:firstLine="480" w:firstLineChars="200"/>
        <w:jc w:val="right"/>
        <w:rPr>
          <w:rFonts w:ascii="宋体" w:hAnsi="宋体"/>
          <w:sz w:val="24"/>
          <w:szCs w:val="24"/>
          <w:highlight w:val="none"/>
        </w:rPr>
      </w:pPr>
    </w:p>
    <w:p>
      <w:pPr>
        <w:autoSpaceDE w:val="0"/>
        <w:spacing w:line="360" w:lineRule="auto"/>
        <w:ind w:firstLine="640" w:firstLineChars="200"/>
        <w:jc w:val="right"/>
        <w:rPr>
          <w:szCs w:val="32"/>
          <w:highlight w:val="none"/>
        </w:rPr>
      </w:pPr>
      <w:r>
        <w:rPr>
          <w:rFonts w:hint="eastAsia"/>
          <w:szCs w:val="32"/>
          <w:highlight w:val="none"/>
        </w:rPr>
        <w:t>法律硕士教育中心</w:t>
      </w:r>
    </w:p>
    <w:p>
      <w:pPr>
        <w:autoSpaceDE w:val="0"/>
        <w:spacing w:line="360" w:lineRule="auto"/>
        <w:ind w:firstLine="640" w:firstLineChars="200"/>
        <w:jc w:val="right"/>
        <w:rPr>
          <w:rFonts w:ascii="宋体" w:hAnsi="宋体"/>
          <w:sz w:val="24"/>
          <w:szCs w:val="24"/>
          <w:highlight w:val="none"/>
        </w:rPr>
      </w:pPr>
      <w:r>
        <w:rPr>
          <w:rFonts w:hint="eastAsia"/>
          <w:szCs w:val="32"/>
          <w:highlight w:val="none"/>
        </w:rPr>
        <w:t>202</w:t>
      </w:r>
      <w:r>
        <w:rPr>
          <w:szCs w:val="32"/>
          <w:highlight w:val="none"/>
        </w:rPr>
        <w:t>2</w:t>
      </w:r>
      <w:r>
        <w:rPr>
          <w:rFonts w:hint="eastAsia"/>
          <w:szCs w:val="32"/>
          <w:highlight w:val="none"/>
        </w:rPr>
        <w:t>年</w:t>
      </w:r>
      <w:r>
        <w:rPr>
          <w:szCs w:val="32"/>
          <w:highlight w:val="none"/>
        </w:rPr>
        <w:t>3</w:t>
      </w:r>
      <w:r>
        <w:rPr>
          <w:rFonts w:hint="eastAsia"/>
          <w:szCs w:val="32"/>
          <w:highlight w:val="none"/>
        </w:rPr>
        <w:t>月</w:t>
      </w:r>
      <w:r>
        <w:rPr>
          <w:rFonts w:hint="eastAsia"/>
          <w:szCs w:val="32"/>
          <w:highlight w:val="none"/>
          <w:lang w:val="en-US" w:eastAsia="zh-CN"/>
        </w:rPr>
        <w:t>30</w:t>
      </w:r>
      <w:r>
        <w:rPr>
          <w:rFonts w:hint="eastAsia"/>
          <w:szCs w:val="32"/>
          <w:highlight w:val="none"/>
        </w:rPr>
        <w:t>日</w:t>
      </w:r>
    </w:p>
    <w:p>
      <w:pPr>
        <w:spacing w:after="7079"/>
        <w:ind w:left="785" w:right="0" w:firstLine="0"/>
        <w:rPr>
          <w:highlight w:val="none"/>
        </w:rPr>
      </w:pPr>
    </w:p>
    <w:sectPr>
      <w:footerReference r:id="rId7" w:type="first"/>
      <w:footerReference r:id="rId5" w:type="default"/>
      <w:footerReference r:id="rId6" w:type="even"/>
      <w:pgSz w:w="11906" w:h="16838"/>
      <w:pgMar w:top="2264" w:right="1445" w:bottom="2056" w:left="1433" w:header="720" w:footer="1013" w:gutter="0"/>
      <w:pgNumType w:fmt="decimalFullWidth"/>
      <w:cols w:space="720" w:num="1"/>
      <w:docGrid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125" w:right="0" w:firstLine="0"/>
      <w:jc w:val="center"/>
    </w:pPr>
    <w:r>
      <w:rPr>
        <w:rFonts w:ascii="Times New Roman" w:hAnsi="Times New Roman" w:eastAsia="Times New Roman" w:cs="Times New Roman"/>
        <w:sz w:val="28"/>
      </w:rPr>
      <w:t>-</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hint="eastAsia" w:ascii="宋体" w:hAnsi="宋体" w:eastAsia="宋体" w:cs="宋体"/>
        <w:sz w:val="28"/>
      </w:rPr>
      <w:t>１０</w:t>
    </w:r>
    <w:r>
      <w:rPr>
        <w:rFonts w:ascii="Times New Roman" w:hAnsi="Times New Roman" w:eastAsia="Times New Roman" w:cs="Times New Roman"/>
        <w:sz w:val="28"/>
      </w:rPr>
      <w:fldChar w:fldCharType="end"/>
    </w:r>
    <w:r>
      <w:rPr>
        <w:rFonts w:ascii="Times New Roman" w:hAnsi="Times New Roman" w:eastAsia="Times New Roman" w:cs="Times New Roman"/>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125" w:right="0" w:firstLine="0"/>
      <w:jc w:val="center"/>
    </w:pPr>
    <w:r>
      <w:rPr>
        <w:rFonts w:ascii="Times New Roman" w:hAnsi="Times New Roman" w:eastAsia="Times New Roman" w:cs="Times New Roman"/>
        <w:sz w:val="28"/>
      </w:rPr>
      <w:t>-</w:t>
    </w:r>
    <w:r>
      <w:fldChar w:fldCharType="begin"/>
    </w:r>
    <w:r>
      <w:instrText xml:space="preserve"> PAGE   \* MERGEFORMAT </w:instrText>
    </w:r>
    <w:r>
      <w:fldChar w:fldCharType="separate"/>
    </w:r>
    <w:r>
      <w:rPr>
        <w:rFonts w:ascii="Times New Roman" w:hAnsi="Times New Roman" w:eastAsia="Times New Roman" w:cs="Times New Roman"/>
        <w:sz w:val="28"/>
      </w:rPr>
      <w:t>１</w:t>
    </w:r>
    <w:r>
      <w:rPr>
        <w:rFonts w:ascii="Times New Roman" w:hAnsi="Times New Roman" w:eastAsia="Times New Roman" w:cs="Times New Roman"/>
        <w:sz w:val="28"/>
      </w:rPr>
      <w:fldChar w:fldCharType="end"/>
    </w:r>
    <w:r>
      <w:rPr>
        <w:rFonts w:ascii="Times New Roman" w:hAnsi="Times New Roman" w:eastAsia="Times New Roman" w:cs="Times New Roman"/>
        <w:sz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125" w:right="0" w:firstLine="0"/>
      <w:jc w:val="center"/>
    </w:pPr>
    <w:r>
      <w:rPr>
        <w:rFonts w:ascii="Times New Roman" w:hAnsi="Times New Roman" w:eastAsia="Times New Roman" w:cs="Times New Roman"/>
        <w:sz w:val="28"/>
      </w:rPr>
      <w:t>-</w:t>
    </w:r>
    <w:r>
      <w:fldChar w:fldCharType="begin"/>
    </w:r>
    <w:r>
      <w:instrText xml:space="preserve"> PAGE   \* MERGEFORMAT </w:instrText>
    </w:r>
    <w:r>
      <w:fldChar w:fldCharType="separate"/>
    </w:r>
    <w:r>
      <w:rPr>
        <w:rFonts w:ascii="Times New Roman" w:hAnsi="Times New Roman" w:eastAsia="Times New Roman" w:cs="Times New Roman"/>
        <w:sz w:val="28"/>
      </w:rPr>
      <w:t>１</w:t>
    </w:r>
    <w:r>
      <w:rPr>
        <w:rFonts w:ascii="Times New Roman" w:hAnsi="Times New Roman" w:eastAsia="Times New Roman" w:cs="Times New Roman"/>
        <w:sz w:val="28"/>
      </w:rPr>
      <w:fldChar w:fldCharType="end"/>
    </w:r>
    <w:r>
      <w:rPr>
        <w:rFonts w:ascii="Times New Roman" w:hAnsi="Times New Roman" w:eastAsia="Times New Roman" w:cs="Times New Roman"/>
        <w:sz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33" w:lineRule="auto"/>
      </w:pPr>
      <w:r>
        <w:separator/>
      </w:r>
    </w:p>
  </w:footnote>
  <w:footnote w:type="continuationSeparator" w:id="1">
    <w:p>
      <w:pPr>
        <w:spacing w:before="0" w:after="0" w:line="333"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3150B1"/>
    <w:multiLevelType w:val="multilevel"/>
    <w:tmpl w:val="2A3150B1"/>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2"/>
  </w:compat>
  <w:rsids>
    <w:rsidRoot w:val="000849D9"/>
    <w:rsid w:val="00044B66"/>
    <w:rsid w:val="000849D9"/>
    <w:rsid w:val="001B202D"/>
    <w:rsid w:val="00241E82"/>
    <w:rsid w:val="00392911"/>
    <w:rsid w:val="004B6EBF"/>
    <w:rsid w:val="00512B7B"/>
    <w:rsid w:val="005243F7"/>
    <w:rsid w:val="00594FC6"/>
    <w:rsid w:val="00612164"/>
    <w:rsid w:val="006222A7"/>
    <w:rsid w:val="0063376A"/>
    <w:rsid w:val="00684D7C"/>
    <w:rsid w:val="006B5DA4"/>
    <w:rsid w:val="006E7836"/>
    <w:rsid w:val="008B75C1"/>
    <w:rsid w:val="008E7DDD"/>
    <w:rsid w:val="009237F1"/>
    <w:rsid w:val="009906D8"/>
    <w:rsid w:val="009E1EAB"/>
    <w:rsid w:val="009E25D9"/>
    <w:rsid w:val="00A56121"/>
    <w:rsid w:val="00AC3AFA"/>
    <w:rsid w:val="00B70AF7"/>
    <w:rsid w:val="00B941A0"/>
    <w:rsid w:val="00BE3D07"/>
    <w:rsid w:val="00C23C2D"/>
    <w:rsid w:val="00C62D4F"/>
    <w:rsid w:val="00C868B6"/>
    <w:rsid w:val="00D20036"/>
    <w:rsid w:val="00D81482"/>
    <w:rsid w:val="00DB5826"/>
    <w:rsid w:val="00DD7E04"/>
    <w:rsid w:val="00DE0AD7"/>
    <w:rsid w:val="00E64240"/>
    <w:rsid w:val="00EC3289"/>
    <w:rsid w:val="00F060EB"/>
    <w:rsid w:val="00F364C3"/>
    <w:rsid w:val="00F66900"/>
    <w:rsid w:val="0CD36378"/>
    <w:rsid w:val="0FFA1E10"/>
    <w:rsid w:val="277F3474"/>
    <w:rsid w:val="2840470F"/>
    <w:rsid w:val="29C943E7"/>
    <w:rsid w:val="316D2849"/>
    <w:rsid w:val="3C4165AB"/>
    <w:rsid w:val="3EA60F97"/>
    <w:rsid w:val="3FC270E5"/>
    <w:rsid w:val="42F26B9B"/>
    <w:rsid w:val="4A1724BA"/>
    <w:rsid w:val="518A7971"/>
    <w:rsid w:val="56535401"/>
    <w:rsid w:val="581447F2"/>
    <w:rsid w:val="67090971"/>
    <w:rsid w:val="6BE63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3" w:line="333" w:lineRule="auto"/>
      <w:ind w:right="288" w:firstLine="619"/>
    </w:pPr>
    <w:rPr>
      <w:rFonts w:ascii="仿宋" w:hAnsi="仿宋" w:eastAsia="仿宋" w:cs="仿宋"/>
      <w:color w:val="000000"/>
      <w:kern w:val="2"/>
      <w:sz w:val="32"/>
      <w:szCs w:val="22"/>
      <w:lang w:val="en-US" w:eastAsia="zh-CN" w:bidi="ar-SA"/>
    </w:rPr>
  </w:style>
  <w:style w:type="paragraph" w:styleId="2">
    <w:name w:val="heading 1"/>
    <w:next w:val="1"/>
    <w:link w:val="11"/>
    <w:qFormat/>
    <w:uiPriority w:val="9"/>
    <w:pPr>
      <w:keepNext/>
      <w:keepLines/>
      <w:spacing w:after="137" w:line="265" w:lineRule="auto"/>
      <w:ind w:left="10" w:right="288" w:hanging="10"/>
      <w:jc w:val="center"/>
      <w:outlineLvl w:val="0"/>
    </w:pPr>
    <w:rPr>
      <w:rFonts w:ascii="仿宋" w:hAnsi="仿宋" w:eastAsia="仿宋" w:cs="仿宋"/>
      <w:color w:val="000000"/>
      <w:kern w:val="2"/>
      <w:sz w:val="32"/>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semiHidden/>
    <w:unhideWhenUsed/>
    <w:qFormat/>
    <w:uiPriority w:val="99"/>
  </w:style>
  <w:style w:type="paragraph" w:styleId="4">
    <w:name w:val="Balloon Text"/>
    <w:basedOn w:val="1"/>
    <w:link w:val="16"/>
    <w:semiHidden/>
    <w:unhideWhenUsed/>
    <w:qFormat/>
    <w:uiPriority w:val="99"/>
    <w:pPr>
      <w:spacing w:after="0" w:line="240" w:lineRule="auto"/>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annotation subject"/>
    <w:basedOn w:val="3"/>
    <w:next w:val="3"/>
    <w:link w:val="14"/>
    <w:semiHidden/>
    <w:unhideWhenUsed/>
    <w:qFormat/>
    <w:uiPriority w:val="99"/>
    <w:rPr>
      <w:b/>
      <w:bCs/>
    </w:rPr>
  </w:style>
  <w:style w:type="table" w:styleId="8">
    <w:name w:val="Table Grid"/>
    <w:basedOn w:val="7"/>
    <w:qFormat/>
    <w:uiPriority w:val="9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标题 1 Char"/>
    <w:link w:val="2"/>
    <w:qFormat/>
    <w:uiPriority w:val="0"/>
    <w:rPr>
      <w:rFonts w:ascii="仿宋" w:hAnsi="仿宋" w:eastAsia="仿宋" w:cs="仿宋"/>
      <w:color w:val="000000"/>
      <w:sz w:val="32"/>
    </w:rPr>
  </w:style>
  <w:style w:type="table" w:customStyle="1" w:styleId="12">
    <w:name w:val="TableGrid"/>
    <w:qFormat/>
    <w:uiPriority w:val="0"/>
    <w:tblPr>
      <w:tblCellMar>
        <w:top w:w="0" w:type="dxa"/>
        <w:left w:w="0" w:type="dxa"/>
        <w:bottom w:w="0" w:type="dxa"/>
        <w:right w:w="0" w:type="dxa"/>
      </w:tblCellMar>
    </w:tblPr>
  </w:style>
  <w:style w:type="character" w:customStyle="1" w:styleId="13">
    <w:name w:val="批注文字 Char"/>
    <w:basedOn w:val="9"/>
    <w:link w:val="3"/>
    <w:semiHidden/>
    <w:qFormat/>
    <w:uiPriority w:val="99"/>
    <w:rPr>
      <w:rFonts w:ascii="仿宋" w:hAnsi="仿宋" w:eastAsia="仿宋" w:cs="仿宋"/>
      <w:color w:val="000000"/>
      <w:sz w:val="32"/>
    </w:rPr>
  </w:style>
  <w:style w:type="character" w:customStyle="1" w:styleId="14">
    <w:name w:val="批注主题 Char"/>
    <w:basedOn w:val="13"/>
    <w:link w:val="6"/>
    <w:semiHidden/>
    <w:qFormat/>
    <w:uiPriority w:val="99"/>
    <w:rPr>
      <w:rFonts w:ascii="仿宋" w:hAnsi="仿宋" w:eastAsia="仿宋" w:cs="仿宋"/>
      <w:b/>
      <w:bCs/>
      <w:color w:val="000000"/>
      <w:sz w:val="32"/>
    </w:rPr>
  </w:style>
  <w:style w:type="character" w:customStyle="1" w:styleId="15">
    <w:name w:val="页眉 Char"/>
    <w:basedOn w:val="9"/>
    <w:link w:val="5"/>
    <w:qFormat/>
    <w:uiPriority w:val="99"/>
    <w:rPr>
      <w:rFonts w:ascii="仿宋" w:hAnsi="仿宋" w:eastAsia="仿宋" w:cs="仿宋"/>
      <w:color w:val="000000"/>
      <w:sz w:val="18"/>
      <w:szCs w:val="18"/>
    </w:rPr>
  </w:style>
  <w:style w:type="character" w:customStyle="1" w:styleId="16">
    <w:name w:val="批注框文本 Char"/>
    <w:basedOn w:val="9"/>
    <w:link w:val="4"/>
    <w:semiHidden/>
    <w:qFormat/>
    <w:uiPriority w:val="99"/>
    <w:rPr>
      <w:rFonts w:ascii="仿宋" w:hAnsi="仿宋" w:eastAsia="仿宋" w:cs="仿宋"/>
      <w:color w:val="000000"/>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1082</Words>
  <Characters>6168</Characters>
  <Lines>51</Lines>
  <Paragraphs>14</Paragraphs>
  <TotalTime>143</TotalTime>
  <ScaleCrop>false</ScaleCrop>
  <LinksUpToDate>false</LinksUpToDate>
  <CharactersWithSpaces>7236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2022-03-14T08:44:00Z</dcterms:created>
  <dc:creator>麻利旺</dc:creator>
  <cp:lastModifiedBy>翔仔</cp:lastModifiedBy>
  <dcterms:modified xsi:type="dcterms:W3CDTF">2022-03-30T07:02:26Z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D9890E5EAB854E25A30ACC6131C1A742</vt:lpwstr>
  </property>
</Properties>
</file>